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pPr>
      <w:r w:rsidDel="00000000" w:rsidR="00000000" w:rsidRPr="00000000">
        <w:rPr>
          <w:rtl w:val="0"/>
        </w:rPr>
        <w:t xml:space="preserve">Bridging the Trust Gap in Wellness Innovation: A Strategic Roadmap for Consumer Adoption</w:t>
      </w:r>
      <w:r w:rsidDel="00000000" w:rsidR="00000000" w:rsidRPr="00000000">
        <w:rPr>
          <w:rtl w:val="0"/>
        </w:rPr>
      </w:r>
    </w:p>
    <w:p w:rsidR="00000000" w:rsidDel="00000000" w:rsidP="00000000" w:rsidRDefault="00000000" w:rsidRPr="00000000" w14:paraId="00000002">
      <w:pPr>
        <w:spacing w:after="240" w:lineRule="auto"/>
        <w:jc w:val="center"/>
        <w:rPr>
          <w:smallCaps w:val="1"/>
        </w:rPr>
      </w:pPr>
      <w:r w:rsidDel="00000000" w:rsidR="00000000" w:rsidRPr="00000000">
        <w:rPr>
          <w:smallCaps w:val="1"/>
          <w:rtl w:val="0"/>
        </w:rPr>
        <w:br w:type="textWrapping"/>
      </w:r>
    </w:p>
    <w:p w:rsidR="00000000" w:rsidDel="00000000" w:rsidP="00000000" w:rsidRDefault="00000000" w:rsidRPr="00000000" w14:paraId="00000003">
      <w:pPr>
        <w:jc w:val="center"/>
        <w:rPr>
          <w:smallCaps w:val="1"/>
        </w:rPr>
      </w:pPr>
      <w:r w:rsidDel="00000000" w:rsidR="00000000" w:rsidRPr="00000000">
        <w:rPr>
          <w:rtl w:val="0"/>
        </w:rPr>
      </w:r>
    </w:p>
    <w:p w:rsidR="00000000" w:rsidDel="00000000" w:rsidP="00000000" w:rsidRDefault="00000000" w:rsidRPr="00000000" w14:paraId="00000004">
      <w:pPr>
        <w:jc w:val="center"/>
        <w:rPr>
          <w:smallCaps w:val="1"/>
        </w:rPr>
      </w:pPr>
      <w:r w:rsidDel="00000000" w:rsidR="00000000" w:rsidRPr="00000000">
        <w:rPr>
          <w:rtl w:val="0"/>
        </w:rPr>
      </w:r>
    </w:p>
    <w:p w:rsidR="00000000" w:rsidDel="00000000" w:rsidP="00000000" w:rsidRDefault="00000000" w:rsidRPr="00000000" w14:paraId="00000005">
      <w:pPr>
        <w:jc w:val="center"/>
        <w:rPr>
          <w:smallCaps w:val="1"/>
        </w:rPr>
      </w:pPr>
      <w:r w:rsidDel="00000000" w:rsidR="00000000" w:rsidRPr="00000000">
        <w:rPr>
          <w:smallCaps w:val="1"/>
          <w:rtl w:val="0"/>
        </w:rPr>
        <w:t xml:space="preserve">by</w:t>
      </w:r>
    </w:p>
    <w:p w:rsidR="00000000" w:rsidDel="00000000" w:rsidP="00000000" w:rsidRDefault="00000000" w:rsidRPr="00000000" w14:paraId="00000006">
      <w:pPr>
        <w:jc w:val="center"/>
        <w:rPr>
          <w:smallCaps w:val="1"/>
        </w:rPr>
      </w:pPr>
      <w:r w:rsidDel="00000000" w:rsidR="00000000" w:rsidRPr="00000000">
        <w:rPr>
          <w:smallCaps w:val="1"/>
          <w:rtl w:val="0"/>
        </w:rPr>
        <w:t xml:space="preserve">Sean J. Plotkin, MBA, CPM</w:t>
      </w:r>
    </w:p>
    <w:p w:rsidR="00000000" w:rsidDel="00000000" w:rsidP="00000000" w:rsidRDefault="00000000" w:rsidRPr="00000000" w14:paraId="00000007">
      <w:pPr>
        <w:widowControl w:val="0"/>
        <w:jc w:val="center"/>
        <w:rPr/>
      </w:pPr>
      <w:r w:rsidDel="00000000" w:rsidR="00000000" w:rsidRPr="00000000">
        <w:rPr>
          <w:rtl w:val="0"/>
        </w:rPr>
        <w:t xml:space="preserve">Author | Podcaster | Entrepreneur | Doctoral Candidate, SSBM</w:t>
      </w:r>
    </w:p>
    <w:p w:rsidR="00000000" w:rsidDel="00000000" w:rsidP="00000000" w:rsidRDefault="00000000" w:rsidRPr="00000000" w14:paraId="00000008">
      <w:pPr>
        <w:widowControl w:val="0"/>
        <w:jc w:val="center"/>
        <w:rPr>
          <w:smallCaps w:val="1"/>
          <w:sz w:val="14"/>
          <w:szCs w:val="14"/>
        </w:rPr>
      </w:pPr>
      <w:r w:rsidDel="00000000" w:rsidR="00000000" w:rsidRPr="00000000">
        <w:rPr>
          <w:rtl w:val="0"/>
        </w:rPr>
        <w:t xml:space="preserve">Founder – ReEnergized | Wellness Innovation Strategist</w:t>
      </w:r>
      <w:r w:rsidDel="00000000" w:rsidR="00000000" w:rsidRPr="00000000">
        <w:rPr>
          <w:rtl w:val="0"/>
        </w:rPr>
      </w:r>
    </w:p>
    <w:p w:rsidR="00000000" w:rsidDel="00000000" w:rsidP="00000000" w:rsidRDefault="00000000" w:rsidRPr="00000000" w14:paraId="00000009">
      <w:pPr>
        <w:spacing w:after="240" w:lineRule="auto"/>
        <w:jc w:val="center"/>
        <w:rPr>
          <w:smallCaps w:val="1"/>
        </w:rPr>
      </w:pPr>
      <w:r w:rsidDel="00000000" w:rsidR="00000000" w:rsidRPr="00000000">
        <w:rPr>
          <w:smallCaps w:val="1"/>
          <w:rtl w:val="0"/>
        </w:rPr>
        <w:br w:type="textWrapping"/>
        <w:br w:type="textWrapping"/>
        <w:br w:type="textWrapping"/>
        <w:br w:type="textWrapping"/>
        <w:br w:type="textWrapping"/>
        <w:br w:type="textWrapping"/>
        <w:t xml:space="preserve">DISSERTATION</w:t>
      </w:r>
    </w:p>
    <w:p w:rsidR="00000000" w:rsidDel="00000000" w:rsidP="00000000" w:rsidRDefault="00000000" w:rsidRPr="00000000" w14:paraId="0000000A">
      <w:pPr>
        <w:spacing w:after="240" w:lineRule="auto"/>
        <w:jc w:val="center"/>
        <w:rPr>
          <w:smallCaps w:val="1"/>
        </w:rPr>
      </w:pPr>
      <w:r w:rsidDel="00000000" w:rsidR="00000000" w:rsidRPr="00000000">
        <w:rPr>
          <w:smallCaps w:val="1"/>
          <w:rtl w:val="0"/>
        </w:rPr>
        <w:t xml:space="preserve">Presented to SSBM</w:t>
      </w:r>
    </w:p>
    <w:p w:rsidR="00000000" w:rsidDel="00000000" w:rsidP="00000000" w:rsidRDefault="00000000" w:rsidRPr="00000000" w14:paraId="0000000B">
      <w:pPr>
        <w:spacing w:after="240" w:lineRule="auto"/>
        <w:jc w:val="center"/>
        <w:rPr>
          <w:smallCaps w:val="1"/>
        </w:rPr>
      </w:pPr>
      <w:r w:rsidDel="00000000" w:rsidR="00000000" w:rsidRPr="00000000">
        <w:rPr>
          <w:smallCaps w:val="1"/>
          <w:rtl w:val="0"/>
        </w:rPr>
        <w:t xml:space="preserve">In Partial fulfillment </w:t>
      </w:r>
    </w:p>
    <w:p w:rsidR="00000000" w:rsidDel="00000000" w:rsidP="00000000" w:rsidRDefault="00000000" w:rsidRPr="00000000" w14:paraId="0000000C">
      <w:pPr>
        <w:spacing w:after="240" w:lineRule="auto"/>
        <w:jc w:val="center"/>
        <w:rPr>
          <w:smallCaps w:val="1"/>
        </w:rPr>
      </w:pPr>
      <w:r w:rsidDel="00000000" w:rsidR="00000000" w:rsidRPr="00000000">
        <w:rPr>
          <w:smallCaps w:val="1"/>
          <w:rtl w:val="0"/>
        </w:rPr>
        <w:t xml:space="preserve">Of the Requirements</w:t>
      </w:r>
    </w:p>
    <w:p w:rsidR="00000000" w:rsidDel="00000000" w:rsidP="00000000" w:rsidRDefault="00000000" w:rsidRPr="00000000" w14:paraId="0000000D">
      <w:pPr>
        <w:spacing w:after="240" w:lineRule="auto"/>
        <w:jc w:val="center"/>
        <w:rPr>
          <w:smallCaps w:val="1"/>
        </w:rPr>
      </w:pPr>
      <w:r w:rsidDel="00000000" w:rsidR="00000000" w:rsidRPr="00000000">
        <w:rPr>
          <w:smallCaps w:val="1"/>
          <w:rtl w:val="0"/>
        </w:rPr>
        <w:t xml:space="preserve">For the Degree</w:t>
      </w:r>
    </w:p>
    <w:p w:rsidR="00000000" w:rsidDel="00000000" w:rsidP="00000000" w:rsidRDefault="00000000" w:rsidRPr="00000000" w14:paraId="0000000E">
      <w:pPr>
        <w:spacing w:after="240" w:lineRule="auto"/>
        <w:jc w:val="center"/>
        <w:rPr>
          <w:smallCaps w:val="1"/>
        </w:rPr>
      </w:pPr>
      <w:r w:rsidDel="00000000" w:rsidR="00000000" w:rsidRPr="00000000">
        <w:rPr>
          <w:rtl w:val="0"/>
        </w:rPr>
      </w:r>
    </w:p>
    <w:p w:rsidR="00000000" w:rsidDel="00000000" w:rsidP="00000000" w:rsidRDefault="00000000" w:rsidRPr="00000000" w14:paraId="0000000F">
      <w:pPr>
        <w:spacing w:after="240" w:lineRule="auto"/>
        <w:jc w:val="center"/>
        <w:rPr>
          <w:smallCaps w:val="1"/>
        </w:rPr>
      </w:pPr>
      <w:r w:rsidDel="00000000" w:rsidR="00000000" w:rsidRPr="00000000">
        <w:rPr>
          <w:rtl w:val="0"/>
        </w:rPr>
      </w:r>
    </w:p>
    <w:p w:rsidR="00000000" w:rsidDel="00000000" w:rsidP="00000000" w:rsidRDefault="00000000" w:rsidRPr="00000000" w14:paraId="00000010">
      <w:pPr>
        <w:spacing w:after="240" w:lineRule="auto"/>
        <w:jc w:val="center"/>
        <w:rPr>
          <w:smallCaps w:val="1"/>
        </w:rPr>
      </w:pPr>
      <w:r w:rsidDel="00000000" w:rsidR="00000000" w:rsidRPr="00000000">
        <w:rPr>
          <w:rtl w:val="0"/>
        </w:rPr>
      </w:r>
    </w:p>
    <w:p w:rsidR="00000000" w:rsidDel="00000000" w:rsidP="00000000" w:rsidRDefault="00000000" w:rsidRPr="00000000" w14:paraId="00000011">
      <w:pPr>
        <w:jc w:val="center"/>
        <w:rPr>
          <w:smallCaps w:val="1"/>
        </w:rPr>
      </w:pPr>
      <w:r w:rsidDel="00000000" w:rsidR="00000000" w:rsidRPr="00000000">
        <w:rPr>
          <w:rtl w:val="0"/>
        </w:rPr>
      </w:r>
    </w:p>
    <w:p w:rsidR="00000000" w:rsidDel="00000000" w:rsidP="00000000" w:rsidRDefault="00000000" w:rsidRPr="00000000" w14:paraId="00000012">
      <w:pPr>
        <w:jc w:val="center"/>
        <w:rPr>
          <w:smallCaps w:val="1"/>
        </w:rPr>
      </w:pPr>
      <w:r w:rsidDel="00000000" w:rsidR="00000000" w:rsidRPr="00000000">
        <w:rPr>
          <w:smallCaps w:val="1"/>
          <w:rtl w:val="0"/>
        </w:rPr>
        <w:t xml:space="preserve">DOCTOR OF BUSINESS ADMINISTRATION</w:t>
      </w:r>
    </w:p>
    <w:p w:rsidR="00000000" w:rsidDel="00000000" w:rsidP="00000000" w:rsidRDefault="00000000" w:rsidRPr="00000000" w14:paraId="00000013">
      <w:pPr>
        <w:jc w:val="center"/>
        <w:rPr>
          <w:smallCaps w:val="1"/>
        </w:rPr>
      </w:pPr>
      <w:r w:rsidDel="00000000" w:rsidR="00000000" w:rsidRPr="00000000">
        <w:rPr>
          <w:rtl w:val="0"/>
        </w:rPr>
      </w:r>
    </w:p>
    <w:p w:rsidR="00000000" w:rsidDel="00000000" w:rsidP="00000000" w:rsidRDefault="00000000" w:rsidRPr="00000000" w14:paraId="00000014">
      <w:pPr>
        <w:jc w:val="center"/>
        <w:rPr>
          <w:smallCaps w:val="1"/>
        </w:rPr>
      </w:pPr>
      <w:r w:rsidDel="00000000" w:rsidR="00000000" w:rsidRPr="00000000">
        <w:rPr>
          <w:smallCaps w:val="1"/>
          <w:rtl w:val="0"/>
        </w:rPr>
        <w:t xml:space="preserve">SWISS SCHOOL OF BUSINESS MANAGEMENT</w:t>
      </w:r>
    </w:p>
    <w:p w:rsidR="00000000" w:rsidDel="00000000" w:rsidP="00000000" w:rsidRDefault="00000000" w:rsidRPr="00000000" w14:paraId="00000015">
      <w:pPr>
        <w:jc w:val="center"/>
        <w:rPr>
          <w:smallCaps w:val="1"/>
        </w:rPr>
      </w:pPr>
      <w:r w:rsidDel="00000000" w:rsidR="00000000" w:rsidRPr="00000000">
        <w:rPr>
          <w:rtl w:val="0"/>
        </w:rPr>
      </w:r>
    </w:p>
    <w:p w:rsidR="00000000" w:rsidDel="00000000" w:rsidP="00000000" w:rsidRDefault="00000000" w:rsidRPr="00000000" w14:paraId="00000016">
      <w:pPr>
        <w:jc w:val="center"/>
        <w:rPr>
          <w:smallCaps w:val="1"/>
        </w:rPr>
      </w:pPr>
      <w:r w:rsidDel="00000000" w:rsidR="00000000" w:rsidRPr="00000000">
        <w:rPr>
          <w:rtl w:val="0"/>
        </w:rPr>
      </w:r>
    </w:p>
    <w:p w:rsidR="00000000" w:rsidDel="00000000" w:rsidP="00000000" w:rsidRDefault="00000000" w:rsidRPr="00000000" w14:paraId="00000017">
      <w:pPr>
        <w:jc w:val="center"/>
        <w:rPr>
          <w:smallCaps w:val="1"/>
        </w:rPr>
      </w:pPr>
      <w:r w:rsidDel="00000000" w:rsidR="00000000" w:rsidRPr="00000000">
        <w:rPr>
          <w:rtl w:val="0"/>
        </w:rPr>
      </w:r>
    </w:p>
    <w:p w:rsidR="00000000" w:rsidDel="00000000" w:rsidP="00000000" w:rsidRDefault="00000000" w:rsidRPr="00000000" w14:paraId="00000018">
      <w:pPr>
        <w:jc w:val="center"/>
        <w:rPr>
          <w:smallCaps w:val="1"/>
        </w:rPr>
      </w:pPr>
      <w:r w:rsidDel="00000000" w:rsidR="00000000" w:rsidRPr="00000000">
        <w:rPr>
          <w:rtl w:val="0"/>
        </w:rPr>
      </w:r>
    </w:p>
    <w:p w:rsidR="00000000" w:rsidDel="00000000" w:rsidP="00000000" w:rsidRDefault="00000000" w:rsidRPr="00000000" w14:paraId="00000019">
      <w:pPr>
        <w:jc w:val="center"/>
        <w:rPr>
          <w:smallCaps w:val="1"/>
        </w:rPr>
      </w:pPr>
      <w:r w:rsidDel="00000000" w:rsidR="00000000" w:rsidRPr="00000000">
        <w:rPr>
          <w:rtl w:val="0"/>
        </w:rPr>
      </w:r>
    </w:p>
    <w:p w:rsidR="00000000" w:rsidDel="00000000" w:rsidP="00000000" w:rsidRDefault="00000000" w:rsidRPr="00000000" w14:paraId="0000001A">
      <w:pPr>
        <w:jc w:val="center"/>
        <w:rPr>
          <w:smallCaps w:val="1"/>
        </w:rPr>
      </w:pPr>
      <w:r w:rsidDel="00000000" w:rsidR="00000000" w:rsidRPr="00000000">
        <w:rPr>
          <w:rtl w:val="0"/>
        </w:rPr>
      </w:r>
    </w:p>
    <w:p w:rsidR="00000000" w:rsidDel="00000000" w:rsidP="00000000" w:rsidRDefault="00000000" w:rsidRPr="00000000" w14:paraId="0000001B">
      <w:pPr>
        <w:jc w:val="center"/>
        <w:rPr>
          <w:smallCaps w:val="1"/>
        </w:rPr>
      </w:pPr>
      <w:r w:rsidDel="00000000" w:rsidR="00000000" w:rsidRPr="00000000">
        <w:rPr>
          <w:rtl w:val="0"/>
        </w:rPr>
      </w:r>
    </w:p>
    <w:p w:rsidR="00000000" w:rsidDel="00000000" w:rsidP="00000000" w:rsidRDefault="00000000" w:rsidRPr="00000000" w14:paraId="0000001C">
      <w:pPr>
        <w:jc w:val="center"/>
        <w:rPr>
          <w:smallCaps w:val="1"/>
        </w:rPr>
      </w:pPr>
      <w:r w:rsidDel="00000000" w:rsidR="00000000" w:rsidRPr="00000000">
        <w:rPr>
          <w:smallCaps w:val="1"/>
          <w:rtl w:val="0"/>
        </w:rPr>
        <w:t xml:space="preserve">XX/XX/2025</w:t>
        <w:br w:type="textWrapping"/>
      </w:r>
    </w:p>
    <w:p w:rsidR="00000000" w:rsidDel="00000000" w:rsidP="00000000" w:rsidRDefault="00000000" w:rsidRPr="00000000" w14:paraId="0000001D">
      <w:pPr>
        <w:jc w:val="center"/>
        <w:rPr>
          <w:smallCaps w:val="1"/>
        </w:rPr>
      </w:pPr>
      <w:r w:rsidDel="00000000" w:rsidR="00000000" w:rsidRPr="00000000">
        <w:rPr>
          <w:smallCaps w:val="1"/>
          <w:rtl w:val="0"/>
        </w:rPr>
        <w:t xml:space="preserve">© Copyright by Sean Plotkin 2025</w:t>
      </w:r>
    </w:p>
    <w:p w:rsidR="00000000" w:rsidDel="00000000" w:rsidP="00000000" w:rsidRDefault="00000000" w:rsidRPr="00000000" w14:paraId="0000001E">
      <w:pPr>
        <w:jc w:val="center"/>
        <w:rPr>
          <w:smallCaps w:val="1"/>
        </w:rPr>
      </w:pPr>
      <w:r w:rsidDel="00000000" w:rsidR="00000000" w:rsidRPr="00000000">
        <w:rPr>
          <w:rtl w:val="0"/>
        </w:rPr>
      </w:r>
    </w:p>
    <w:p w:rsidR="00000000" w:rsidDel="00000000" w:rsidP="00000000" w:rsidRDefault="00000000" w:rsidRPr="00000000" w14:paraId="0000001F">
      <w:pPr>
        <w:jc w:val="center"/>
        <w:rPr>
          <w:smallCaps w:val="1"/>
        </w:rPr>
      </w:pPr>
      <w:r w:rsidDel="00000000" w:rsidR="00000000" w:rsidRPr="00000000">
        <w:rPr>
          <w:smallCaps w:val="1"/>
          <w:rtl w:val="0"/>
        </w:rPr>
        <w:t xml:space="preserve">All Rights Reserved</w:t>
      </w:r>
    </w:p>
    <w:p w:rsidR="00000000" w:rsidDel="00000000" w:rsidP="00000000" w:rsidRDefault="00000000" w:rsidRPr="00000000" w14:paraId="00000020">
      <w:pPr>
        <w:jc w:val="both"/>
        <w:rPr/>
      </w:pPr>
      <w:r w:rsidDel="00000000" w:rsidR="00000000" w:rsidRPr="00000000">
        <w:rPr>
          <w:rtl w:val="0"/>
        </w:rPr>
        <w:t xml:space="preserve">Bridging the Trust Gap in Wellness Innovation: A Strategic Roadmap for Consumer Adoption</w:t>
      </w:r>
    </w:p>
    <w:p w:rsidR="00000000" w:rsidDel="00000000" w:rsidP="00000000" w:rsidRDefault="00000000" w:rsidRPr="00000000" w14:paraId="00000021">
      <w:pPr>
        <w:spacing w:after="240" w:lineRule="auto"/>
        <w:jc w:val="center"/>
        <w:rPr>
          <w:smallCaps w:val="1"/>
        </w:rPr>
      </w:pPr>
      <w:r w:rsidDel="00000000" w:rsidR="00000000" w:rsidRPr="00000000">
        <w:rPr>
          <w:rtl w:val="0"/>
        </w:rPr>
      </w:r>
    </w:p>
    <w:p w:rsidR="00000000" w:rsidDel="00000000" w:rsidP="00000000" w:rsidRDefault="00000000" w:rsidRPr="00000000" w14:paraId="00000022">
      <w:pPr>
        <w:jc w:val="center"/>
        <w:rPr>
          <w:smallCaps w:val="1"/>
        </w:rPr>
      </w:pPr>
      <w:r w:rsidDel="00000000" w:rsidR="00000000" w:rsidRPr="00000000">
        <w:rPr>
          <w:rtl w:val="0"/>
        </w:rPr>
      </w:r>
    </w:p>
    <w:p w:rsidR="00000000" w:rsidDel="00000000" w:rsidP="00000000" w:rsidRDefault="00000000" w:rsidRPr="00000000" w14:paraId="00000023">
      <w:pPr>
        <w:jc w:val="center"/>
        <w:rPr>
          <w:smallCaps w:val="1"/>
        </w:rPr>
      </w:pPr>
      <w:r w:rsidDel="00000000" w:rsidR="00000000" w:rsidRPr="00000000">
        <w:rPr>
          <w:smallCaps w:val="1"/>
          <w:rtl w:val="0"/>
        </w:rPr>
        <w:t xml:space="preserve">by</w:t>
      </w:r>
    </w:p>
    <w:p w:rsidR="00000000" w:rsidDel="00000000" w:rsidP="00000000" w:rsidRDefault="00000000" w:rsidRPr="00000000" w14:paraId="00000024">
      <w:pPr>
        <w:jc w:val="center"/>
        <w:rPr>
          <w:smallCaps w:val="1"/>
        </w:rPr>
      </w:pPr>
      <w:r w:rsidDel="00000000" w:rsidR="00000000" w:rsidRPr="00000000">
        <w:rPr>
          <w:rtl w:val="0"/>
        </w:rPr>
      </w:r>
    </w:p>
    <w:p w:rsidR="00000000" w:rsidDel="00000000" w:rsidP="00000000" w:rsidRDefault="00000000" w:rsidRPr="00000000" w14:paraId="00000025">
      <w:pPr>
        <w:jc w:val="center"/>
        <w:rPr>
          <w:smallCaps w:val="1"/>
        </w:rPr>
      </w:pPr>
      <w:r w:rsidDel="00000000" w:rsidR="00000000" w:rsidRPr="00000000">
        <w:rPr>
          <w:smallCaps w:val="1"/>
          <w:rtl w:val="0"/>
        </w:rPr>
        <w:t xml:space="preserve">Sean Plotkin, MBA, CPM </w:t>
      </w:r>
    </w:p>
    <w:p w:rsidR="00000000" w:rsidDel="00000000" w:rsidP="00000000" w:rsidRDefault="00000000" w:rsidRPr="00000000" w14:paraId="00000026">
      <w:pPr>
        <w:spacing w:after="240" w:lineRule="auto"/>
        <w:jc w:val="center"/>
        <w:rPr>
          <w:smallCaps w:val="1"/>
        </w:rPr>
      </w:pPr>
      <w:r w:rsidDel="00000000" w:rsidR="00000000" w:rsidRPr="00000000">
        <w:rPr>
          <w:rtl w:val="0"/>
        </w:rPr>
      </w:r>
    </w:p>
    <w:p w:rsidR="00000000" w:rsidDel="00000000" w:rsidP="00000000" w:rsidRDefault="00000000" w:rsidRPr="00000000" w14:paraId="00000027">
      <w:pPr>
        <w:jc w:val="center"/>
        <w:rPr>
          <w:smallCaps w:val="1"/>
        </w:rPr>
      </w:pPr>
      <w:r w:rsidDel="00000000" w:rsidR="00000000" w:rsidRPr="00000000">
        <w:rPr>
          <w:smallCaps w:val="1"/>
          <w:rtl w:val="0"/>
        </w:rPr>
        <w:t xml:space="preserve">APPROVED BY</w:t>
      </w:r>
    </w:p>
    <w:p w:rsidR="00000000" w:rsidDel="00000000" w:rsidP="00000000" w:rsidRDefault="00000000" w:rsidRPr="00000000" w14:paraId="00000028">
      <w:pPr>
        <w:jc w:val="center"/>
        <w:rPr>
          <w:smallCaps w:val="1"/>
        </w:rPr>
      </w:pPr>
      <w:r w:rsidDel="00000000" w:rsidR="00000000" w:rsidRPr="00000000">
        <w:rPr>
          <w:rtl w:val="0"/>
        </w:rPr>
      </w:r>
    </w:p>
    <w:p w:rsidR="00000000" w:rsidDel="00000000" w:rsidP="00000000" w:rsidRDefault="00000000" w:rsidRPr="00000000" w14:paraId="00000029">
      <w:pPr>
        <w:jc w:val="center"/>
        <w:rPr>
          <w:smallCaps w:val="1"/>
        </w:rPr>
      </w:pPr>
      <w:r w:rsidDel="00000000" w:rsidR="00000000" w:rsidRPr="00000000">
        <w:rPr>
          <w:rtl w:val="0"/>
        </w:rPr>
      </w:r>
    </w:p>
    <w:p w:rsidR="00000000" w:rsidDel="00000000" w:rsidP="00000000" w:rsidRDefault="00000000" w:rsidRPr="00000000" w14:paraId="0000002A">
      <w:pPr>
        <w:jc w:val="center"/>
        <w:rPr>
          <w:smallCaps w:val="1"/>
        </w:rPr>
      </w:pPr>
      <w:r w:rsidDel="00000000" w:rsidR="00000000" w:rsidRPr="00000000">
        <w:rPr>
          <w:rtl w:val="0"/>
        </w:rPr>
      </w:r>
    </w:p>
    <w:p w:rsidR="00000000" w:rsidDel="00000000" w:rsidP="00000000" w:rsidRDefault="00000000" w:rsidRPr="00000000" w14:paraId="0000002B">
      <w:pPr>
        <w:jc w:val="center"/>
        <w:rPr>
          <w:smallCaps w:val="1"/>
        </w:rPr>
      </w:pPr>
      <w:r w:rsidDel="00000000" w:rsidR="00000000" w:rsidRPr="00000000">
        <w:rPr>
          <w:smallCaps w:val="1"/>
          <w:rtl w:val="0"/>
        </w:rPr>
        <w:t xml:space="preserve">__________________________</w:t>
      </w:r>
    </w:p>
    <w:p w:rsidR="00000000" w:rsidDel="00000000" w:rsidP="00000000" w:rsidRDefault="00000000" w:rsidRPr="00000000" w14:paraId="0000002C">
      <w:pPr>
        <w:jc w:val="center"/>
        <w:rPr>
          <w:smallCaps w:val="1"/>
        </w:rPr>
      </w:pPr>
      <w:r w:rsidDel="00000000" w:rsidR="00000000" w:rsidRPr="00000000">
        <w:rPr>
          <w:rtl w:val="0"/>
        </w:rPr>
      </w:r>
    </w:p>
    <w:p w:rsidR="00000000" w:rsidDel="00000000" w:rsidP="00000000" w:rsidRDefault="00000000" w:rsidRPr="00000000" w14:paraId="0000002D">
      <w:pPr>
        <w:jc w:val="center"/>
        <w:rPr>
          <w:smallCaps w:val="1"/>
        </w:rPr>
      </w:pPr>
      <w:r w:rsidDel="00000000" w:rsidR="00000000" w:rsidRPr="00000000">
        <w:rPr>
          <w:smallCaps w:val="1"/>
          <w:rtl w:val="0"/>
        </w:rPr>
        <w:t xml:space="preserve">Chairs Name, Degree, Chair</w:t>
      </w:r>
    </w:p>
    <w:p w:rsidR="00000000" w:rsidDel="00000000" w:rsidP="00000000" w:rsidRDefault="00000000" w:rsidRPr="00000000" w14:paraId="0000002E">
      <w:pPr>
        <w:jc w:val="center"/>
        <w:rPr>
          <w:smallCaps w:val="1"/>
        </w:rPr>
      </w:pPr>
      <w:r w:rsidDel="00000000" w:rsidR="00000000" w:rsidRPr="00000000">
        <w:rPr>
          <w:rtl w:val="0"/>
        </w:rPr>
      </w:r>
    </w:p>
    <w:p w:rsidR="00000000" w:rsidDel="00000000" w:rsidP="00000000" w:rsidRDefault="00000000" w:rsidRPr="00000000" w14:paraId="0000002F">
      <w:pPr>
        <w:jc w:val="center"/>
        <w:rPr>
          <w:smallCaps w:val="1"/>
        </w:rPr>
      </w:pPr>
      <w:r w:rsidDel="00000000" w:rsidR="00000000" w:rsidRPr="00000000">
        <w:rPr>
          <w:rtl w:val="0"/>
        </w:rPr>
      </w:r>
    </w:p>
    <w:p w:rsidR="00000000" w:rsidDel="00000000" w:rsidP="00000000" w:rsidRDefault="00000000" w:rsidRPr="00000000" w14:paraId="00000030">
      <w:pPr>
        <w:jc w:val="center"/>
        <w:rPr>
          <w:smallCaps w:val="1"/>
        </w:rPr>
      </w:pPr>
      <w:r w:rsidDel="00000000" w:rsidR="00000000" w:rsidRPr="00000000">
        <w:rPr>
          <w:smallCaps w:val="1"/>
          <w:rtl w:val="0"/>
        </w:rPr>
        <w:t xml:space="preserve">___________________________</w:t>
      </w:r>
    </w:p>
    <w:p w:rsidR="00000000" w:rsidDel="00000000" w:rsidP="00000000" w:rsidRDefault="00000000" w:rsidRPr="00000000" w14:paraId="00000031">
      <w:pPr>
        <w:spacing w:after="240" w:lineRule="auto"/>
        <w:jc w:val="center"/>
        <w:rPr>
          <w:smallCaps w:val="1"/>
        </w:rPr>
      </w:pPr>
      <w:r w:rsidDel="00000000" w:rsidR="00000000" w:rsidRPr="00000000">
        <w:rPr>
          <w:rtl w:val="0"/>
        </w:rPr>
      </w:r>
    </w:p>
    <w:p w:rsidR="00000000" w:rsidDel="00000000" w:rsidP="00000000" w:rsidRDefault="00000000" w:rsidRPr="00000000" w14:paraId="00000032">
      <w:pPr>
        <w:jc w:val="center"/>
        <w:rPr>
          <w:smallCaps w:val="1"/>
        </w:rPr>
      </w:pPr>
      <w:r w:rsidDel="00000000" w:rsidR="00000000" w:rsidRPr="00000000">
        <w:rPr>
          <w:smallCaps w:val="1"/>
          <w:rtl w:val="0"/>
        </w:rPr>
        <w:tab/>
      </w:r>
    </w:p>
    <w:p w:rsidR="00000000" w:rsidDel="00000000" w:rsidP="00000000" w:rsidRDefault="00000000" w:rsidRPr="00000000" w14:paraId="00000033">
      <w:pPr>
        <w:jc w:val="center"/>
        <w:rPr>
          <w:smallCaps w:val="1"/>
        </w:rPr>
      </w:pPr>
      <w:r w:rsidDel="00000000" w:rsidR="00000000" w:rsidRPr="00000000">
        <w:rPr>
          <w:smallCaps w:val="1"/>
          <w:rtl w:val="0"/>
        </w:rPr>
        <w:t xml:space="preserve">First O. Member, Member</w:t>
      </w:r>
    </w:p>
    <w:p w:rsidR="00000000" w:rsidDel="00000000" w:rsidP="00000000" w:rsidRDefault="00000000" w:rsidRPr="00000000" w14:paraId="00000034">
      <w:pPr>
        <w:jc w:val="center"/>
        <w:rPr>
          <w:smallCaps w:val="1"/>
        </w:rPr>
      </w:pPr>
      <w:r w:rsidDel="00000000" w:rsidR="00000000" w:rsidRPr="00000000">
        <w:rPr>
          <w:rtl w:val="0"/>
        </w:rPr>
      </w:r>
    </w:p>
    <w:p w:rsidR="00000000" w:rsidDel="00000000" w:rsidP="00000000" w:rsidRDefault="00000000" w:rsidRPr="00000000" w14:paraId="00000035">
      <w:pPr>
        <w:jc w:val="center"/>
        <w:rPr>
          <w:smallCaps w:val="1"/>
        </w:rPr>
      </w:pPr>
      <w:r w:rsidDel="00000000" w:rsidR="00000000" w:rsidRPr="00000000">
        <w:rPr>
          <w:rtl w:val="0"/>
        </w:rPr>
      </w:r>
    </w:p>
    <w:p w:rsidR="00000000" w:rsidDel="00000000" w:rsidP="00000000" w:rsidRDefault="00000000" w:rsidRPr="00000000" w14:paraId="00000036">
      <w:pPr>
        <w:jc w:val="center"/>
        <w:rPr>
          <w:smallCaps w:val="1"/>
        </w:rPr>
      </w:pPr>
      <w:r w:rsidDel="00000000" w:rsidR="00000000" w:rsidRPr="00000000">
        <w:rPr>
          <w:smallCaps w:val="1"/>
          <w:rtl w:val="0"/>
        </w:rPr>
        <w:t xml:space="preserve">___________________________</w:t>
      </w:r>
    </w:p>
    <w:p w:rsidR="00000000" w:rsidDel="00000000" w:rsidP="00000000" w:rsidRDefault="00000000" w:rsidRPr="00000000" w14:paraId="00000037">
      <w:pPr>
        <w:jc w:val="center"/>
        <w:rPr>
          <w:smallCaps w:val="1"/>
        </w:rPr>
      </w:pPr>
      <w:r w:rsidDel="00000000" w:rsidR="00000000" w:rsidRPr="00000000">
        <w:rPr>
          <w:rtl w:val="0"/>
        </w:rPr>
      </w:r>
    </w:p>
    <w:p w:rsidR="00000000" w:rsidDel="00000000" w:rsidP="00000000" w:rsidRDefault="00000000" w:rsidRPr="00000000" w14:paraId="00000038">
      <w:pPr>
        <w:spacing w:after="240" w:lineRule="auto"/>
        <w:jc w:val="center"/>
        <w:rPr>
          <w:smallCaps w:val="1"/>
        </w:rPr>
      </w:pPr>
      <w:r w:rsidDel="00000000" w:rsidR="00000000" w:rsidRPr="00000000">
        <w:rPr>
          <w:rtl w:val="0"/>
        </w:rPr>
      </w:r>
    </w:p>
    <w:p w:rsidR="00000000" w:rsidDel="00000000" w:rsidP="00000000" w:rsidRDefault="00000000" w:rsidRPr="00000000" w14:paraId="00000039">
      <w:pPr>
        <w:jc w:val="center"/>
        <w:rPr>
          <w:smallCaps w:val="1"/>
        </w:rPr>
      </w:pPr>
      <w:r w:rsidDel="00000000" w:rsidR="00000000" w:rsidRPr="00000000">
        <w:rPr>
          <w:smallCaps w:val="1"/>
          <w:rtl w:val="0"/>
        </w:rPr>
        <w:tab/>
      </w:r>
    </w:p>
    <w:p w:rsidR="00000000" w:rsidDel="00000000" w:rsidP="00000000" w:rsidRDefault="00000000" w:rsidRPr="00000000" w14:paraId="0000003A">
      <w:pPr>
        <w:jc w:val="center"/>
        <w:rPr>
          <w:smallCaps w:val="1"/>
        </w:rPr>
      </w:pPr>
      <w:r w:rsidDel="00000000" w:rsidR="00000000" w:rsidRPr="00000000">
        <w:rPr>
          <w:smallCaps w:val="1"/>
          <w:rtl w:val="0"/>
        </w:rPr>
        <w:t xml:space="preserve">Second M. Name, Member</w:t>
      </w:r>
    </w:p>
    <w:p w:rsidR="00000000" w:rsidDel="00000000" w:rsidP="00000000" w:rsidRDefault="00000000" w:rsidRPr="00000000" w14:paraId="0000003B">
      <w:pPr>
        <w:jc w:val="center"/>
        <w:rPr>
          <w:smallCaps w:val="1"/>
        </w:rPr>
      </w:pPr>
      <w:r w:rsidDel="00000000" w:rsidR="00000000" w:rsidRPr="00000000">
        <w:rPr>
          <w:rtl w:val="0"/>
        </w:rPr>
      </w:r>
    </w:p>
    <w:p w:rsidR="00000000" w:rsidDel="00000000" w:rsidP="00000000" w:rsidRDefault="00000000" w:rsidRPr="00000000" w14:paraId="0000003C">
      <w:pPr>
        <w:jc w:val="center"/>
        <w:rPr>
          <w:smallCaps w:val="1"/>
        </w:rPr>
      </w:pPr>
      <w:r w:rsidDel="00000000" w:rsidR="00000000" w:rsidRPr="00000000">
        <w:rPr>
          <w:rtl w:val="0"/>
        </w:rPr>
      </w:r>
    </w:p>
    <w:p w:rsidR="00000000" w:rsidDel="00000000" w:rsidP="00000000" w:rsidRDefault="00000000" w:rsidRPr="00000000" w14:paraId="0000003D">
      <w:pPr>
        <w:jc w:val="center"/>
        <w:rPr>
          <w:smallCaps w:val="1"/>
        </w:rPr>
      </w:pPr>
      <w:r w:rsidDel="00000000" w:rsidR="00000000" w:rsidRPr="00000000">
        <w:rPr>
          <w:rtl w:val="0"/>
        </w:rPr>
      </w:r>
    </w:p>
    <w:p w:rsidR="00000000" w:rsidDel="00000000" w:rsidP="00000000" w:rsidRDefault="00000000" w:rsidRPr="00000000" w14:paraId="0000003E">
      <w:pPr>
        <w:jc w:val="center"/>
        <w:rPr>
          <w:smallCaps w:val="1"/>
        </w:rPr>
      </w:pPr>
      <w:r w:rsidDel="00000000" w:rsidR="00000000" w:rsidRPr="00000000">
        <w:rPr>
          <w:smallCaps w:val="1"/>
          <w:rtl w:val="0"/>
        </w:rPr>
        <w:t xml:space="preserve">___________________________</w:t>
      </w:r>
    </w:p>
    <w:p w:rsidR="00000000" w:rsidDel="00000000" w:rsidP="00000000" w:rsidRDefault="00000000" w:rsidRPr="00000000" w14:paraId="0000003F">
      <w:pPr>
        <w:spacing w:after="240" w:lineRule="auto"/>
        <w:jc w:val="center"/>
        <w:rPr>
          <w:smallCaps w:val="1"/>
        </w:rPr>
      </w:pPr>
      <w:r w:rsidDel="00000000" w:rsidR="00000000" w:rsidRPr="00000000">
        <w:rPr>
          <w:smallCaps w:val="1"/>
          <w:rtl w:val="0"/>
        </w:rPr>
        <w:br w:type="textWrapping"/>
      </w:r>
    </w:p>
    <w:p w:rsidR="00000000" w:rsidDel="00000000" w:rsidP="00000000" w:rsidRDefault="00000000" w:rsidRPr="00000000" w14:paraId="00000040">
      <w:pPr>
        <w:jc w:val="center"/>
        <w:rPr>
          <w:smallCaps w:val="1"/>
        </w:rPr>
      </w:pPr>
      <w:r w:rsidDel="00000000" w:rsidR="00000000" w:rsidRPr="00000000">
        <w:rPr>
          <w:smallCaps w:val="1"/>
          <w:rtl w:val="0"/>
        </w:rPr>
        <w:tab/>
      </w:r>
    </w:p>
    <w:p w:rsidR="00000000" w:rsidDel="00000000" w:rsidP="00000000" w:rsidRDefault="00000000" w:rsidRPr="00000000" w14:paraId="00000041">
      <w:pPr>
        <w:jc w:val="center"/>
        <w:rPr>
          <w:smallCaps w:val="1"/>
        </w:rPr>
      </w:pPr>
      <w:r w:rsidDel="00000000" w:rsidR="00000000" w:rsidRPr="00000000">
        <w:rPr>
          <w:smallCaps w:val="1"/>
          <w:rtl w:val="0"/>
        </w:rPr>
        <w:t xml:space="preserve">RECEIVED/APPROVED BY:</w:t>
      </w:r>
    </w:p>
    <w:p w:rsidR="00000000" w:rsidDel="00000000" w:rsidP="00000000" w:rsidRDefault="00000000" w:rsidRPr="00000000" w14:paraId="00000042">
      <w:pPr>
        <w:jc w:val="center"/>
        <w:rPr>
          <w:smallCaps w:val="1"/>
        </w:rPr>
      </w:pPr>
      <w:r w:rsidDel="00000000" w:rsidR="00000000" w:rsidRPr="00000000">
        <w:rPr>
          <w:rtl w:val="0"/>
        </w:rPr>
      </w:r>
    </w:p>
    <w:p w:rsidR="00000000" w:rsidDel="00000000" w:rsidP="00000000" w:rsidRDefault="00000000" w:rsidRPr="00000000" w14:paraId="00000043">
      <w:pPr>
        <w:jc w:val="center"/>
        <w:rPr>
          <w:smallCaps w:val="1"/>
        </w:rPr>
      </w:pPr>
      <w:r w:rsidDel="00000000" w:rsidR="00000000" w:rsidRPr="00000000">
        <w:rPr>
          <w:rtl w:val="0"/>
        </w:rPr>
      </w:r>
    </w:p>
    <w:p w:rsidR="00000000" w:rsidDel="00000000" w:rsidP="00000000" w:rsidRDefault="00000000" w:rsidRPr="00000000" w14:paraId="00000044">
      <w:pPr>
        <w:jc w:val="center"/>
        <w:rPr>
          <w:smallCaps w:val="1"/>
        </w:rPr>
      </w:pPr>
      <w:r w:rsidDel="00000000" w:rsidR="00000000" w:rsidRPr="00000000">
        <w:rPr>
          <w:rtl w:val="0"/>
        </w:rPr>
      </w:r>
    </w:p>
    <w:p w:rsidR="00000000" w:rsidDel="00000000" w:rsidP="00000000" w:rsidRDefault="00000000" w:rsidRPr="00000000" w14:paraId="00000045">
      <w:pPr>
        <w:jc w:val="center"/>
        <w:rPr>
          <w:smallCaps w:val="1"/>
        </w:rPr>
      </w:pPr>
      <w:r w:rsidDel="00000000" w:rsidR="00000000" w:rsidRPr="00000000">
        <w:rPr>
          <w:smallCaps w:val="1"/>
          <w:rtl w:val="0"/>
        </w:rPr>
        <w:t xml:space="preserve">_______________________________</w:t>
      </w:r>
    </w:p>
    <w:p w:rsidR="00000000" w:rsidDel="00000000" w:rsidP="00000000" w:rsidRDefault="00000000" w:rsidRPr="00000000" w14:paraId="00000046">
      <w:pPr>
        <w:jc w:val="center"/>
        <w:rPr>
          <w:smallCaps w:val="1"/>
        </w:rPr>
      </w:pPr>
      <w:r w:rsidDel="00000000" w:rsidR="00000000" w:rsidRPr="00000000">
        <w:rPr>
          <w:smallCaps w:val="1"/>
          <w:rtl w:val="0"/>
        </w:rPr>
        <w:t xml:space="preserve">Associate Dean’s name, Degree, Associate Dean</w:t>
      </w:r>
    </w:p>
    <w:p w:rsidR="00000000" w:rsidDel="00000000" w:rsidP="00000000" w:rsidRDefault="00000000" w:rsidRPr="00000000" w14:paraId="00000047">
      <w:pPr>
        <w:jc w:val="both"/>
        <w:rPr>
          <w:smallCaps w:val="1"/>
        </w:rPr>
      </w:pPr>
      <w:r w:rsidDel="00000000" w:rsidR="00000000" w:rsidRPr="00000000">
        <w:rPr>
          <w:rtl w:val="0"/>
        </w:rPr>
      </w:r>
    </w:p>
    <w:p w:rsidR="00000000" w:rsidDel="00000000" w:rsidP="00000000" w:rsidRDefault="00000000" w:rsidRPr="00000000" w14:paraId="00000048">
      <w:pPr>
        <w:jc w:val="center"/>
        <w:rPr>
          <w:b w:val="1"/>
          <w:smallCaps w:val="1"/>
        </w:rPr>
      </w:pPr>
      <w:r w:rsidDel="00000000" w:rsidR="00000000" w:rsidRPr="00000000">
        <w:rPr>
          <w:rtl w:val="0"/>
        </w:rPr>
      </w:r>
    </w:p>
    <w:p w:rsidR="00000000" w:rsidDel="00000000" w:rsidP="00000000" w:rsidRDefault="00000000" w:rsidRPr="00000000" w14:paraId="00000049">
      <w:pPr>
        <w:jc w:val="center"/>
        <w:rPr>
          <w:b w:val="1"/>
          <w:smallCaps w:val="1"/>
        </w:rPr>
      </w:pPr>
      <w:r w:rsidDel="00000000" w:rsidR="00000000" w:rsidRPr="00000000">
        <w:rPr>
          <w:b w:val="1"/>
          <w:smallCaps w:val="1"/>
          <w:rtl w:val="0"/>
        </w:rPr>
        <w:t xml:space="preserve">Abstract</w:t>
      </w:r>
    </w:p>
    <w:p w:rsidR="00000000" w:rsidDel="00000000" w:rsidP="00000000" w:rsidRDefault="00000000" w:rsidRPr="00000000" w14:paraId="0000004A">
      <w:pPr>
        <w:jc w:val="both"/>
        <w:rPr>
          <w:smallCaps w:val="1"/>
        </w:rPr>
      </w:pPr>
      <w:r w:rsidDel="00000000" w:rsidR="00000000" w:rsidRPr="00000000">
        <w:rPr>
          <w:rtl w:val="0"/>
        </w:rPr>
      </w:r>
    </w:p>
    <w:p w:rsidR="00000000" w:rsidDel="00000000" w:rsidP="00000000" w:rsidRDefault="00000000" w:rsidRPr="00000000" w14:paraId="0000004B">
      <w:pPr>
        <w:spacing w:after="240" w:before="240" w:lineRule="auto"/>
        <w:jc w:val="both"/>
        <w:rPr/>
      </w:pPr>
      <w:r w:rsidDel="00000000" w:rsidR="00000000" w:rsidRPr="00000000">
        <w:rPr>
          <w:rtl w:val="0"/>
        </w:rPr>
        <w:t xml:space="preserve">We are witnessing a shift in how people approach health—moving beyond institutional care toward decentralized, self-directed wellness. With tools like red light beds, wearables, ice baths, and other biohacking technologies now available for at-home use, consumers are taking control of their health journeys. Yet, in this landscape of innovation and accessibility, a critical challenge emerges: how do people decide what to trust when regulation is absent?</w:t>
      </w:r>
    </w:p>
    <w:p w:rsidR="00000000" w:rsidDel="00000000" w:rsidP="00000000" w:rsidRDefault="00000000" w:rsidRPr="00000000" w14:paraId="0000004C">
      <w:pPr>
        <w:spacing w:after="240" w:before="240" w:lineRule="auto"/>
        <w:jc w:val="both"/>
        <w:rPr/>
      </w:pPr>
      <w:r w:rsidDel="00000000" w:rsidR="00000000" w:rsidRPr="00000000">
        <w:rPr>
          <w:rtl w:val="0"/>
        </w:rPr>
        <w:t xml:space="preserve">This dissertation investigates the behavioral and psychological dynamics of adopting preventive wellness technologies in unregulated markets. Drawing on a survey of 600 respondents and analyzed using Partial Least Squares Structural Equation Modeling (PLS-SEM) and Fuzzy-set Qualitative Comparative Analysis (fsQCA), the study develops and tests an extended conceptual model incorporating Technology Credibility (TC), Perceived Risk (PR), Health Motivation (HM), and Personal Innovativeness (PI).</w:t>
      </w:r>
    </w:p>
    <w:p w:rsidR="00000000" w:rsidDel="00000000" w:rsidP="00000000" w:rsidRDefault="00000000" w:rsidRPr="00000000" w14:paraId="0000004D">
      <w:pPr>
        <w:spacing w:after="240" w:before="240" w:lineRule="auto"/>
        <w:jc w:val="both"/>
        <w:rPr/>
      </w:pPr>
      <w:r w:rsidDel="00000000" w:rsidR="00000000" w:rsidRPr="00000000">
        <w:rPr>
          <w:rtl w:val="0"/>
        </w:rPr>
        <w:t xml:space="preserve">The findings confirm that Behavioral Intention (BI) is the most consistent predictor of Actual Use (AUT), with TC acting as a key enabler by linking beliefs to action. Additionally, facilitating conditions, social influence, and perceived risk significantly shape users’ intention and behavior. The fsQCA results revealed multiple pathways to adoption, supporting the principle of equifinality—different combinations of motivations and contextual conditions can all lead to technology use.</w:t>
      </w:r>
    </w:p>
    <w:p w:rsidR="00000000" w:rsidDel="00000000" w:rsidP="00000000" w:rsidRDefault="00000000" w:rsidRPr="00000000" w14:paraId="0000004E">
      <w:pPr>
        <w:spacing w:after="240" w:before="240" w:lineRule="auto"/>
        <w:jc w:val="both"/>
        <w:rPr/>
      </w:pPr>
      <w:r w:rsidDel="00000000" w:rsidR="00000000" w:rsidRPr="00000000">
        <w:rPr>
          <w:rtl w:val="0"/>
        </w:rPr>
        <w:t xml:space="preserve">To better explain trust formation and consumer action, this study proposes the Wellness Trust Lifecycle Plus (W-TLC+) framework, a six-stage model that outlines how trust builds, shifts, and sustains over time in low-trust wellness ecosystems. W-TLC+ helps entrepreneurs and researchers understand not just why people adopt emerging wellness technologies—but how to ethically build trust in their use and scale responsible innovation in unregulated spaces.</w:t>
      </w:r>
    </w:p>
    <w:p w:rsidR="00000000" w:rsidDel="00000000" w:rsidP="00000000" w:rsidRDefault="00000000" w:rsidRPr="00000000" w14:paraId="0000004F">
      <w:pPr>
        <w:spacing w:after="240" w:before="240" w:lineRule="auto"/>
        <w:jc w:val="both"/>
        <w:rPr/>
      </w:pPr>
      <w:r w:rsidDel="00000000" w:rsidR="00000000" w:rsidRPr="00000000">
        <w:rPr>
          <w:rtl w:val="0"/>
        </w:rPr>
        <w:t xml:space="preserve">This work contributes to theory by extending TAM and UTAUT into non-traditional contexts, and to practice by offering a strategic roadmap for fostering credibility, motivation, and adoption in decentralized health environments.</w:t>
      </w:r>
    </w:p>
    <w:p w:rsidR="00000000" w:rsidDel="00000000" w:rsidP="00000000" w:rsidRDefault="00000000" w:rsidRPr="00000000" w14:paraId="00000050">
      <w:pPr>
        <w:spacing w:after="240" w:before="240" w:lineRule="auto"/>
        <w:jc w:val="both"/>
        <w:rPr/>
      </w:pPr>
      <w:r w:rsidDel="00000000" w:rsidR="00000000" w:rsidRPr="00000000">
        <w:rPr>
          <w:rtl w:val="0"/>
        </w:rPr>
      </w:r>
    </w:p>
    <w:p w:rsidR="00000000" w:rsidDel="00000000" w:rsidP="00000000" w:rsidRDefault="00000000" w:rsidRPr="00000000" w14:paraId="00000051">
      <w:pPr>
        <w:spacing w:after="280" w:before="280" w:lineRule="auto"/>
        <w:jc w:val="both"/>
        <w:rPr/>
      </w:pPr>
      <w:r w:rsidDel="00000000" w:rsidR="00000000" w:rsidRPr="00000000">
        <w:rPr>
          <w:rtl w:val="0"/>
        </w:rPr>
      </w:r>
    </w:p>
    <w:p w:rsidR="00000000" w:rsidDel="00000000" w:rsidP="00000000" w:rsidRDefault="00000000" w:rsidRPr="00000000" w14:paraId="00000052">
      <w:pPr>
        <w:jc w:val="center"/>
        <w:rPr>
          <w:smallCaps w:val="1"/>
          <w:color w:val="0d0d0d"/>
          <w:highlight w:val="white"/>
        </w:rPr>
      </w:pPr>
      <w:r w:rsidDel="00000000" w:rsidR="00000000" w:rsidRPr="00000000">
        <w:rPr>
          <w:rtl w:val="0"/>
        </w:rPr>
      </w:r>
    </w:p>
    <w:p w:rsidR="00000000" w:rsidDel="00000000" w:rsidP="00000000" w:rsidRDefault="00000000" w:rsidRPr="00000000" w14:paraId="00000053">
      <w:pPr>
        <w:rPr>
          <w:smallCaps w:val="1"/>
          <w:color w:val="0d0d0d"/>
          <w:highlight w:val="white"/>
        </w:rPr>
      </w:pPr>
      <w:r w:rsidDel="00000000" w:rsidR="00000000" w:rsidRPr="00000000">
        <w:rPr>
          <w:rtl w:val="0"/>
        </w:rPr>
      </w:r>
    </w:p>
    <w:p w:rsidR="00000000" w:rsidDel="00000000" w:rsidP="00000000" w:rsidRDefault="00000000" w:rsidRPr="00000000" w14:paraId="00000054">
      <w:pPr>
        <w:jc w:val="center"/>
        <w:rPr>
          <w:smallCaps w:val="1"/>
          <w:color w:val="0d0d0d"/>
          <w:highlight w:val="white"/>
        </w:rPr>
      </w:pPr>
      <w:r w:rsidDel="00000000" w:rsidR="00000000" w:rsidRPr="00000000">
        <w:rPr>
          <w:rtl w:val="0"/>
        </w:rPr>
      </w:r>
    </w:p>
    <w:p w:rsidR="00000000" w:rsidDel="00000000" w:rsidP="00000000" w:rsidRDefault="00000000" w:rsidRPr="00000000" w14:paraId="00000055">
      <w:pPr>
        <w:jc w:val="center"/>
        <w:rPr>
          <w:smallCaps w:val="1"/>
          <w:color w:val="0d0d0d"/>
          <w:highlight w:val="white"/>
        </w:rPr>
      </w:pPr>
      <w:r w:rsidDel="00000000" w:rsidR="00000000" w:rsidRPr="00000000">
        <w:rPr>
          <w:rtl w:val="0"/>
        </w:rPr>
      </w:r>
    </w:p>
    <w:p w:rsidR="00000000" w:rsidDel="00000000" w:rsidP="00000000" w:rsidRDefault="00000000" w:rsidRPr="00000000" w14:paraId="00000056">
      <w:pPr>
        <w:jc w:val="center"/>
        <w:rPr>
          <w:smallCaps w:val="1"/>
          <w:color w:val="0d0d0d"/>
          <w:highlight w:val="white"/>
        </w:rPr>
      </w:pPr>
      <w:r w:rsidDel="00000000" w:rsidR="00000000" w:rsidRPr="00000000">
        <w:rPr>
          <w:rtl w:val="0"/>
        </w:rPr>
      </w:r>
    </w:p>
    <w:p w:rsidR="00000000" w:rsidDel="00000000" w:rsidP="00000000" w:rsidRDefault="00000000" w:rsidRPr="00000000" w14:paraId="00000057">
      <w:pPr>
        <w:jc w:val="center"/>
        <w:rPr>
          <w:smallCaps w:val="1"/>
          <w:color w:val="0d0d0d"/>
          <w:highlight w:val="white"/>
        </w:rPr>
      </w:pPr>
      <w:r w:rsidDel="00000000" w:rsidR="00000000" w:rsidRPr="00000000">
        <w:rPr>
          <w:rtl w:val="0"/>
        </w:rPr>
      </w:r>
    </w:p>
    <w:p w:rsidR="00000000" w:rsidDel="00000000" w:rsidP="00000000" w:rsidRDefault="00000000" w:rsidRPr="00000000" w14:paraId="00000058">
      <w:pPr>
        <w:jc w:val="center"/>
        <w:rPr>
          <w:smallCaps w:val="1"/>
          <w:color w:val="0d0d0d"/>
          <w:highlight w:val="white"/>
        </w:rPr>
      </w:pPr>
      <w:r w:rsidDel="00000000" w:rsidR="00000000" w:rsidRPr="00000000">
        <w:rPr>
          <w:rtl w:val="0"/>
        </w:rPr>
      </w:r>
    </w:p>
    <w:p w:rsidR="00000000" w:rsidDel="00000000" w:rsidP="00000000" w:rsidRDefault="00000000" w:rsidRPr="00000000" w14:paraId="00000059">
      <w:pPr>
        <w:jc w:val="center"/>
        <w:rPr>
          <w:smallCaps w:val="1"/>
          <w:color w:val="0d0d0d"/>
          <w:highlight w:val="white"/>
        </w:rPr>
      </w:pPr>
      <w:r w:rsidDel="00000000" w:rsidR="00000000" w:rsidRPr="00000000">
        <w:rPr>
          <w:rtl w:val="0"/>
        </w:rPr>
      </w:r>
    </w:p>
    <w:p w:rsidR="00000000" w:rsidDel="00000000" w:rsidP="00000000" w:rsidRDefault="00000000" w:rsidRPr="00000000" w14:paraId="0000005A">
      <w:pPr>
        <w:jc w:val="center"/>
        <w:rPr>
          <w:smallCaps w:val="1"/>
          <w:color w:val="0d0d0d"/>
          <w:highlight w:val="white"/>
        </w:rPr>
      </w:pPr>
      <w:r w:rsidDel="00000000" w:rsidR="00000000" w:rsidRPr="00000000">
        <w:rPr>
          <w:rtl w:val="0"/>
        </w:rPr>
      </w:r>
    </w:p>
    <w:p w:rsidR="00000000" w:rsidDel="00000000" w:rsidP="00000000" w:rsidRDefault="00000000" w:rsidRPr="00000000" w14:paraId="0000005B">
      <w:pPr>
        <w:jc w:val="center"/>
        <w:rPr>
          <w:smallCaps w:val="1"/>
          <w:color w:val="0d0d0d"/>
          <w:highlight w:val="white"/>
        </w:rPr>
      </w:pPr>
      <w:r w:rsidDel="00000000" w:rsidR="00000000" w:rsidRPr="00000000">
        <w:rPr>
          <w:rtl w:val="0"/>
        </w:rPr>
      </w:r>
    </w:p>
    <w:p w:rsidR="00000000" w:rsidDel="00000000" w:rsidP="00000000" w:rsidRDefault="00000000" w:rsidRPr="00000000" w14:paraId="0000005C">
      <w:pPr>
        <w:jc w:val="center"/>
        <w:rPr>
          <w:smallCaps w:val="1"/>
          <w:color w:val="0d0d0d"/>
          <w:highlight w:val="white"/>
        </w:rPr>
      </w:pPr>
      <w:r w:rsidDel="00000000" w:rsidR="00000000" w:rsidRPr="00000000">
        <w:rPr>
          <w:rtl w:val="0"/>
        </w:rPr>
      </w:r>
    </w:p>
    <w:p w:rsidR="00000000" w:rsidDel="00000000" w:rsidP="00000000" w:rsidRDefault="00000000" w:rsidRPr="00000000" w14:paraId="0000005D">
      <w:pPr>
        <w:jc w:val="center"/>
        <w:rPr>
          <w:smallCaps w:val="1"/>
          <w:color w:val="0d0d0d"/>
          <w:highlight w:val="white"/>
        </w:rPr>
      </w:pPr>
      <w:r w:rsidDel="00000000" w:rsidR="00000000" w:rsidRPr="00000000">
        <w:rPr>
          <w:rtl w:val="0"/>
        </w:rPr>
      </w:r>
    </w:p>
    <w:p w:rsidR="00000000" w:rsidDel="00000000" w:rsidP="00000000" w:rsidRDefault="00000000" w:rsidRPr="00000000" w14:paraId="0000005E">
      <w:pPr>
        <w:jc w:val="center"/>
        <w:rPr>
          <w:smallCaps w:val="1"/>
          <w:color w:val="0d0d0d"/>
          <w:highlight w:val="white"/>
        </w:rPr>
      </w:pPr>
      <w:r w:rsidDel="00000000" w:rsidR="00000000" w:rsidRPr="00000000">
        <w:rPr>
          <w:rtl w:val="0"/>
        </w:rPr>
      </w:r>
    </w:p>
    <w:p w:rsidR="00000000" w:rsidDel="00000000" w:rsidP="00000000" w:rsidRDefault="00000000" w:rsidRPr="00000000" w14:paraId="0000005F">
      <w:pPr>
        <w:rPr>
          <w:smallCaps w:val="1"/>
          <w:color w:val="0d0d0d"/>
          <w:highlight w:val="white"/>
        </w:rPr>
      </w:pPr>
      <w:r w:rsidDel="00000000" w:rsidR="00000000" w:rsidRPr="00000000">
        <w:rPr>
          <w:rtl w:val="0"/>
        </w:rPr>
      </w:r>
    </w:p>
    <w:p w:rsidR="00000000" w:rsidDel="00000000" w:rsidP="00000000" w:rsidRDefault="00000000" w:rsidRPr="00000000" w14:paraId="00000060">
      <w:pPr>
        <w:jc w:val="center"/>
        <w:rPr>
          <w:b w:val="1"/>
          <w:highlight w:val="white"/>
        </w:rPr>
      </w:pPr>
      <w:r w:rsidDel="00000000" w:rsidR="00000000" w:rsidRPr="00000000">
        <w:rPr>
          <w:b w:val="1"/>
          <w:highlight w:val="white"/>
          <w:rtl w:val="0"/>
        </w:rPr>
        <w:t xml:space="preserve">Dedications</w:t>
      </w:r>
    </w:p>
    <w:p w:rsidR="00000000" w:rsidDel="00000000" w:rsidP="00000000" w:rsidRDefault="00000000" w:rsidRPr="00000000" w14:paraId="00000061">
      <w:pPr>
        <w:jc w:val="both"/>
        <w:rPr>
          <w:smallCaps w:val="1"/>
          <w:color w:val="0d0d0d"/>
          <w:highlight w:val="white"/>
        </w:rPr>
      </w:pPr>
      <w:r w:rsidDel="00000000" w:rsidR="00000000" w:rsidRPr="00000000">
        <w:rPr>
          <w:rtl w:val="0"/>
        </w:rPr>
      </w:r>
    </w:p>
    <w:p w:rsidR="00000000" w:rsidDel="00000000" w:rsidP="00000000" w:rsidRDefault="00000000" w:rsidRPr="00000000" w14:paraId="00000062">
      <w:pPr>
        <w:spacing w:after="240" w:before="240" w:lineRule="auto"/>
        <w:jc w:val="both"/>
        <w:rPr>
          <w:highlight w:val="white"/>
        </w:rPr>
      </w:pPr>
      <w:r w:rsidDel="00000000" w:rsidR="00000000" w:rsidRPr="00000000">
        <w:rPr>
          <w:highlight w:val="white"/>
          <w:rtl w:val="0"/>
        </w:rPr>
        <w:t xml:space="preserve">It goes without saying that no person is an island—and for that, I thank every soul who helped me become who I am. Somewhere between nature and nurture, there's a hamster wheel inside me that just won’t stop spinning.</w:t>
      </w:r>
    </w:p>
    <w:p w:rsidR="00000000" w:rsidDel="00000000" w:rsidP="00000000" w:rsidRDefault="00000000" w:rsidRPr="00000000" w14:paraId="00000063">
      <w:pPr>
        <w:spacing w:after="240" w:before="240" w:lineRule="auto"/>
        <w:jc w:val="both"/>
        <w:rPr>
          <w:highlight w:val="white"/>
        </w:rPr>
      </w:pPr>
      <w:r w:rsidDel="00000000" w:rsidR="00000000" w:rsidRPr="00000000">
        <w:rPr>
          <w:highlight w:val="white"/>
          <w:rtl w:val="0"/>
        </w:rPr>
        <w:t xml:space="preserve">To my family, friends, coworkers, teammates, and ancestors—thank you for shaping my fire, my narrative, and my curiosity. Without you, I might’ve been a very fine couch potato. Or a film or food critic. Possibly both.</w:t>
      </w:r>
    </w:p>
    <w:p w:rsidR="00000000" w:rsidDel="00000000" w:rsidP="00000000" w:rsidRDefault="00000000" w:rsidRPr="00000000" w14:paraId="00000064">
      <w:pPr>
        <w:spacing w:after="240" w:before="240" w:lineRule="auto"/>
        <w:jc w:val="both"/>
        <w:rPr>
          <w:highlight w:val="white"/>
        </w:rPr>
      </w:pPr>
      <w:r w:rsidDel="00000000" w:rsidR="00000000" w:rsidRPr="00000000">
        <w:rPr>
          <w:highlight w:val="white"/>
          <w:rtl w:val="0"/>
        </w:rPr>
        <w:t xml:space="preserve">To my father: thank you for your push and presence.</w:t>
        <w:br w:type="textWrapping"/>
        <w:t xml:space="preserve">To my grandmother: your wit and strength echo in me daily.</w:t>
        <w:br w:type="textWrapping"/>
        <w:t xml:space="preserve">To my mother: thank you for the dance between tension and tenderness.</w:t>
        <w:br w:type="textWrapping"/>
        <w:t xml:space="preserve">To Laura: this journey of healing, aging, and wonder—I wouldn’t trade a step of it with anyone else.</w:t>
        <w:br w:type="textWrapping"/>
        <w:t xml:space="preserve">To my kids: you keep me grounded in the present, and that keeps me whole.</w:t>
      </w:r>
    </w:p>
    <w:p w:rsidR="00000000" w:rsidDel="00000000" w:rsidP="00000000" w:rsidRDefault="00000000" w:rsidRPr="00000000" w14:paraId="00000065">
      <w:pPr>
        <w:spacing w:after="240" w:before="240" w:lineRule="auto"/>
        <w:jc w:val="both"/>
        <w:rPr>
          <w:highlight w:val="white"/>
        </w:rPr>
      </w:pPr>
      <w:r w:rsidDel="00000000" w:rsidR="00000000" w:rsidRPr="00000000">
        <w:rPr>
          <w:highlight w:val="white"/>
          <w:rtl w:val="0"/>
        </w:rPr>
        <w:t xml:space="preserve">To Pepe and Lupita: your love was silent but loud. Pepe, we miss you—and what you taught us lives on.</w:t>
      </w:r>
    </w:p>
    <w:p w:rsidR="00000000" w:rsidDel="00000000" w:rsidP="00000000" w:rsidRDefault="00000000" w:rsidRPr="00000000" w14:paraId="00000066">
      <w:pPr>
        <w:spacing w:after="240" w:before="240" w:lineRule="auto"/>
        <w:jc w:val="both"/>
        <w:rPr>
          <w:highlight w:val="white"/>
        </w:rPr>
      </w:pPr>
      <w:r w:rsidDel="00000000" w:rsidR="00000000" w:rsidRPr="00000000">
        <w:rPr>
          <w:highlight w:val="white"/>
          <w:rtl w:val="0"/>
        </w:rPr>
        <w:t xml:space="preserve">And to the version of me who kept going—especially when it made no sense to—I see you, and I thank you.</w:t>
      </w:r>
    </w:p>
    <w:p w:rsidR="00000000" w:rsidDel="00000000" w:rsidP="00000000" w:rsidRDefault="00000000" w:rsidRPr="00000000" w14:paraId="00000067">
      <w:pPr>
        <w:spacing w:after="240" w:before="240" w:lineRule="auto"/>
        <w:jc w:val="both"/>
        <w:rPr>
          <w:highlight w:val="white"/>
        </w:rPr>
      </w:pPr>
      <w:r w:rsidDel="00000000" w:rsidR="00000000" w:rsidRPr="00000000">
        <w:rPr>
          <w:rtl w:val="0"/>
        </w:rPr>
      </w:r>
    </w:p>
    <w:p w:rsidR="00000000" w:rsidDel="00000000" w:rsidP="00000000" w:rsidRDefault="00000000" w:rsidRPr="00000000" w14:paraId="00000068">
      <w:pPr>
        <w:jc w:val="both"/>
        <w:rPr>
          <w:highlight w:val="white"/>
        </w:rPr>
      </w:pPr>
      <w:r w:rsidDel="00000000" w:rsidR="00000000" w:rsidRPr="00000000">
        <w:rPr>
          <w:rtl w:val="0"/>
        </w:rPr>
      </w:r>
    </w:p>
    <w:p w:rsidR="00000000" w:rsidDel="00000000" w:rsidP="00000000" w:rsidRDefault="00000000" w:rsidRPr="00000000" w14:paraId="00000069">
      <w:pPr>
        <w:jc w:val="left"/>
        <w:rPr>
          <w:highlight w:val="white"/>
        </w:rPr>
      </w:pPr>
      <w:r w:rsidDel="00000000" w:rsidR="00000000" w:rsidRPr="00000000">
        <w:rPr>
          <w:rtl w:val="0"/>
        </w:rPr>
      </w:r>
    </w:p>
    <w:p w:rsidR="00000000" w:rsidDel="00000000" w:rsidP="00000000" w:rsidRDefault="00000000" w:rsidRPr="00000000" w14:paraId="0000006A">
      <w:pPr>
        <w:jc w:val="left"/>
        <w:rPr>
          <w:highlight w:val="white"/>
        </w:rPr>
      </w:pPr>
      <w:r w:rsidDel="00000000" w:rsidR="00000000" w:rsidRPr="00000000">
        <w:rPr>
          <w:rtl w:val="0"/>
        </w:rPr>
      </w:r>
    </w:p>
    <w:p w:rsidR="00000000" w:rsidDel="00000000" w:rsidP="00000000" w:rsidRDefault="00000000" w:rsidRPr="00000000" w14:paraId="0000006B">
      <w:pPr>
        <w:jc w:val="left"/>
        <w:rPr>
          <w:highlight w:val="white"/>
        </w:rPr>
      </w:pPr>
      <w:r w:rsidDel="00000000" w:rsidR="00000000" w:rsidRPr="00000000">
        <w:rPr>
          <w:rtl w:val="0"/>
        </w:rPr>
      </w:r>
    </w:p>
    <w:p w:rsidR="00000000" w:rsidDel="00000000" w:rsidP="00000000" w:rsidRDefault="00000000" w:rsidRPr="00000000" w14:paraId="0000006C">
      <w:pPr>
        <w:jc w:val="left"/>
        <w:rPr>
          <w:highlight w:val="white"/>
        </w:rPr>
      </w:pPr>
      <w:r w:rsidDel="00000000" w:rsidR="00000000" w:rsidRPr="00000000">
        <w:rPr>
          <w:rtl w:val="0"/>
        </w:rPr>
      </w:r>
    </w:p>
    <w:p w:rsidR="00000000" w:rsidDel="00000000" w:rsidP="00000000" w:rsidRDefault="00000000" w:rsidRPr="00000000" w14:paraId="0000006D">
      <w:pPr>
        <w:jc w:val="left"/>
        <w:rPr>
          <w:highlight w:val="white"/>
        </w:rPr>
      </w:pPr>
      <w:r w:rsidDel="00000000" w:rsidR="00000000" w:rsidRPr="00000000">
        <w:rPr>
          <w:rtl w:val="0"/>
        </w:rPr>
      </w:r>
    </w:p>
    <w:p w:rsidR="00000000" w:rsidDel="00000000" w:rsidP="00000000" w:rsidRDefault="00000000" w:rsidRPr="00000000" w14:paraId="0000006E">
      <w:pPr>
        <w:jc w:val="left"/>
        <w:rPr>
          <w:highlight w:val="white"/>
        </w:rPr>
      </w:pPr>
      <w:r w:rsidDel="00000000" w:rsidR="00000000" w:rsidRPr="00000000">
        <w:rPr>
          <w:rtl w:val="0"/>
        </w:rPr>
      </w:r>
    </w:p>
    <w:p w:rsidR="00000000" w:rsidDel="00000000" w:rsidP="00000000" w:rsidRDefault="00000000" w:rsidRPr="00000000" w14:paraId="0000006F">
      <w:pPr>
        <w:jc w:val="left"/>
        <w:rPr>
          <w:highlight w:val="white"/>
        </w:rPr>
      </w:pPr>
      <w:r w:rsidDel="00000000" w:rsidR="00000000" w:rsidRPr="00000000">
        <w:rPr>
          <w:rtl w:val="0"/>
        </w:rPr>
      </w:r>
    </w:p>
    <w:p w:rsidR="00000000" w:rsidDel="00000000" w:rsidP="00000000" w:rsidRDefault="00000000" w:rsidRPr="00000000" w14:paraId="00000070">
      <w:pPr>
        <w:jc w:val="left"/>
        <w:rPr>
          <w:highlight w:val="white"/>
        </w:rPr>
      </w:pPr>
      <w:r w:rsidDel="00000000" w:rsidR="00000000" w:rsidRPr="00000000">
        <w:rPr>
          <w:rtl w:val="0"/>
        </w:rPr>
      </w:r>
    </w:p>
    <w:p w:rsidR="00000000" w:rsidDel="00000000" w:rsidP="00000000" w:rsidRDefault="00000000" w:rsidRPr="00000000" w14:paraId="00000071">
      <w:pPr>
        <w:jc w:val="left"/>
        <w:rPr>
          <w:highlight w:val="white"/>
        </w:rPr>
      </w:pPr>
      <w:r w:rsidDel="00000000" w:rsidR="00000000" w:rsidRPr="00000000">
        <w:rPr>
          <w:rtl w:val="0"/>
        </w:rPr>
      </w:r>
    </w:p>
    <w:p w:rsidR="00000000" w:rsidDel="00000000" w:rsidP="00000000" w:rsidRDefault="00000000" w:rsidRPr="00000000" w14:paraId="00000072">
      <w:pPr>
        <w:jc w:val="left"/>
        <w:rPr>
          <w:highlight w:val="white"/>
        </w:rPr>
      </w:pPr>
      <w:r w:rsidDel="00000000" w:rsidR="00000000" w:rsidRPr="00000000">
        <w:rPr>
          <w:rtl w:val="0"/>
        </w:rPr>
      </w:r>
    </w:p>
    <w:p w:rsidR="00000000" w:rsidDel="00000000" w:rsidP="00000000" w:rsidRDefault="00000000" w:rsidRPr="00000000" w14:paraId="00000073">
      <w:pPr>
        <w:jc w:val="left"/>
        <w:rPr>
          <w:highlight w:val="white"/>
        </w:rPr>
      </w:pPr>
      <w:r w:rsidDel="00000000" w:rsidR="00000000" w:rsidRPr="00000000">
        <w:rPr>
          <w:rtl w:val="0"/>
        </w:rPr>
      </w:r>
    </w:p>
    <w:p w:rsidR="00000000" w:rsidDel="00000000" w:rsidP="00000000" w:rsidRDefault="00000000" w:rsidRPr="00000000" w14:paraId="00000074">
      <w:pPr>
        <w:jc w:val="left"/>
        <w:rPr>
          <w:highlight w:val="white"/>
        </w:rPr>
      </w:pPr>
      <w:r w:rsidDel="00000000" w:rsidR="00000000" w:rsidRPr="00000000">
        <w:rPr>
          <w:rtl w:val="0"/>
        </w:rPr>
      </w:r>
    </w:p>
    <w:p w:rsidR="00000000" w:rsidDel="00000000" w:rsidP="00000000" w:rsidRDefault="00000000" w:rsidRPr="00000000" w14:paraId="00000075">
      <w:pPr>
        <w:jc w:val="left"/>
        <w:rPr>
          <w:highlight w:val="white"/>
        </w:rPr>
      </w:pPr>
      <w:r w:rsidDel="00000000" w:rsidR="00000000" w:rsidRPr="00000000">
        <w:rPr>
          <w:rtl w:val="0"/>
        </w:rPr>
      </w:r>
    </w:p>
    <w:p w:rsidR="00000000" w:rsidDel="00000000" w:rsidP="00000000" w:rsidRDefault="00000000" w:rsidRPr="00000000" w14:paraId="00000076">
      <w:pPr>
        <w:jc w:val="left"/>
        <w:rPr>
          <w:highlight w:val="white"/>
        </w:rPr>
      </w:pPr>
      <w:r w:rsidDel="00000000" w:rsidR="00000000" w:rsidRPr="00000000">
        <w:rPr>
          <w:rtl w:val="0"/>
        </w:rPr>
      </w:r>
    </w:p>
    <w:p w:rsidR="00000000" w:rsidDel="00000000" w:rsidP="00000000" w:rsidRDefault="00000000" w:rsidRPr="00000000" w14:paraId="00000077">
      <w:pPr>
        <w:jc w:val="left"/>
        <w:rPr>
          <w:highlight w:val="white"/>
        </w:rPr>
      </w:pPr>
      <w:r w:rsidDel="00000000" w:rsidR="00000000" w:rsidRPr="00000000">
        <w:rPr>
          <w:rtl w:val="0"/>
        </w:rPr>
      </w:r>
    </w:p>
    <w:p w:rsidR="00000000" w:rsidDel="00000000" w:rsidP="00000000" w:rsidRDefault="00000000" w:rsidRPr="00000000" w14:paraId="00000078">
      <w:pPr>
        <w:jc w:val="left"/>
        <w:rPr>
          <w:highlight w:val="white"/>
        </w:rPr>
      </w:pPr>
      <w:r w:rsidDel="00000000" w:rsidR="00000000" w:rsidRPr="00000000">
        <w:rPr>
          <w:rtl w:val="0"/>
        </w:rPr>
      </w:r>
    </w:p>
    <w:p w:rsidR="00000000" w:rsidDel="00000000" w:rsidP="00000000" w:rsidRDefault="00000000" w:rsidRPr="00000000" w14:paraId="00000079">
      <w:pPr>
        <w:jc w:val="left"/>
        <w:rPr>
          <w:highlight w:val="white"/>
        </w:rPr>
      </w:pPr>
      <w:r w:rsidDel="00000000" w:rsidR="00000000" w:rsidRPr="00000000">
        <w:rPr>
          <w:rtl w:val="0"/>
        </w:rPr>
      </w:r>
    </w:p>
    <w:p w:rsidR="00000000" w:rsidDel="00000000" w:rsidP="00000000" w:rsidRDefault="00000000" w:rsidRPr="00000000" w14:paraId="0000007A">
      <w:pPr>
        <w:jc w:val="left"/>
        <w:rPr>
          <w:highlight w:val="white"/>
        </w:rPr>
      </w:pPr>
      <w:r w:rsidDel="00000000" w:rsidR="00000000" w:rsidRPr="00000000">
        <w:rPr>
          <w:rtl w:val="0"/>
        </w:rPr>
      </w:r>
    </w:p>
    <w:p w:rsidR="00000000" w:rsidDel="00000000" w:rsidP="00000000" w:rsidRDefault="00000000" w:rsidRPr="00000000" w14:paraId="0000007B">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07C">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07D">
      <w:pPr>
        <w:jc w:val="center"/>
        <w:rPr>
          <w:b w:val="1"/>
          <w:smallCaps w:val="1"/>
          <w:color w:val="0d0d0d"/>
          <w:highlight w:val="white"/>
        </w:rPr>
      </w:pPr>
      <w:r w:rsidDel="00000000" w:rsidR="00000000" w:rsidRPr="00000000">
        <w:rPr>
          <w:b w:val="1"/>
          <w:smallCaps w:val="1"/>
          <w:color w:val="0d0d0d"/>
          <w:highlight w:val="white"/>
          <w:rtl w:val="0"/>
        </w:rPr>
        <w:t xml:space="preserve">Acknowledgments</w:t>
      </w:r>
    </w:p>
    <w:p w:rsidR="00000000" w:rsidDel="00000000" w:rsidP="00000000" w:rsidRDefault="00000000" w:rsidRPr="00000000" w14:paraId="0000007E">
      <w:pPr>
        <w:pStyle w:val="Heading3"/>
        <w:keepNext w:val="0"/>
        <w:keepLines w:val="0"/>
        <w:jc w:val="both"/>
        <w:rPr>
          <w:sz w:val="26"/>
          <w:szCs w:val="26"/>
          <w:highlight w:val="white"/>
        </w:rPr>
      </w:pPr>
      <w:bookmarkStart w:colFirst="0" w:colLast="0" w:name="_heading=h.jub6o142p4w5" w:id="0"/>
      <w:bookmarkEnd w:id="0"/>
      <w:r w:rsidDel="00000000" w:rsidR="00000000" w:rsidRPr="00000000">
        <w:rPr>
          <w:rtl w:val="0"/>
        </w:rPr>
      </w:r>
    </w:p>
    <w:p w:rsidR="00000000" w:rsidDel="00000000" w:rsidP="00000000" w:rsidRDefault="00000000" w:rsidRPr="00000000" w14:paraId="0000007F">
      <w:pPr>
        <w:spacing w:after="240" w:before="240" w:lineRule="auto"/>
        <w:jc w:val="both"/>
        <w:rPr>
          <w:highlight w:val="white"/>
        </w:rPr>
      </w:pPr>
      <w:r w:rsidDel="00000000" w:rsidR="00000000" w:rsidRPr="00000000">
        <w:rPr>
          <w:highlight w:val="white"/>
          <w:rtl w:val="0"/>
        </w:rPr>
        <w:t xml:space="preserve">This journey began—almost by accident—with a hotel points deal that landed me at the Beverly Hills Hilton. On my way to the pool, I passed a sleek, glass-fronted space tucked just below the lobby. With its stunning design, crystal-clear windows, and high-performance aesthetic, Upgrade Labs stopped me in my tracks. I had already read some of Dave Asprey’s work, the so-called father of biohacking, and curiosity pulled me inside.</w:t>
      </w:r>
    </w:p>
    <w:p w:rsidR="00000000" w:rsidDel="00000000" w:rsidP="00000000" w:rsidRDefault="00000000" w:rsidRPr="00000000" w14:paraId="00000080">
      <w:pPr>
        <w:spacing w:after="240" w:before="240" w:lineRule="auto"/>
        <w:jc w:val="both"/>
        <w:rPr>
          <w:highlight w:val="white"/>
        </w:rPr>
      </w:pPr>
      <w:r w:rsidDel="00000000" w:rsidR="00000000" w:rsidRPr="00000000">
        <w:rPr>
          <w:highlight w:val="white"/>
          <w:rtl w:val="0"/>
        </w:rPr>
        <w:t xml:space="preserve">After signing up for sessions and regularly making the drive from Costa Mesa to Beverly Hills, COVID hit—and everything shut down. But that pause launched a new chapter. I dove deeper into Dave’s books, his podcasts, the Upgrade Collective, and eventually the Biohacking Conference in Orlando. That was a turning point. What started as curiosity became a full-blown pursuit of growth, healing, and human optimization. I’m deeply grateful to Dave Asprey for building something that invites others in—and for modeling what a generous, mission-driven wellness entrepreneur looks like.</w:t>
      </w:r>
    </w:p>
    <w:p w:rsidR="00000000" w:rsidDel="00000000" w:rsidP="00000000" w:rsidRDefault="00000000" w:rsidRPr="00000000" w14:paraId="00000081">
      <w:pPr>
        <w:spacing w:after="240" w:before="240" w:lineRule="auto"/>
        <w:jc w:val="both"/>
        <w:rPr>
          <w:highlight w:val="white"/>
        </w:rPr>
      </w:pPr>
      <w:r w:rsidDel="00000000" w:rsidR="00000000" w:rsidRPr="00000000">
        <w:rPr>
          <w:highlight w:val="white"/>
          <w:rtl w:val="0"/>
        </w:rPr>
        <w:t xml:space="preserve">To Dr. Anuja Shukla, my mentor at SSBM: thank you for helping me shape a messy stream of ideas into something structured and defensible. Your guidance helped turn momentum into meaning.</w:t>
      </w:r>
    </w:p>
    <w:p w:rsidR="00000000" w:rsidDel="00000000" w:rsidP="00000000" w:rsidRDefault="00000000" w:rsidRPr="00000000" w14:paraId="00000082">
      <w:pPr>
        <w:spacing w:after="240" w:before="240" w:lineRule="auto"/>
        <w:jc w:val="both"/>
        <w:rPr>
          <w:highlight w:val="white"/>
        </w:rPr>
      </w:pPr>
      <w:r w:rsidDel="00000000" w:rsidR="00000000" w:rsidRPr="00000000">
        <w:rPr>
          <w:highlight w:val="white"/>
          <w:rtl w:val="0"/>
        </w:rPr>
        <w:t xml:space="preserve">To my committee and faculty: thank you for asking the hard questions and allowing space for originality. And to the program team and support staff, who helped keep things moving behind the scenes—thank you for holding it all together during moments of chaos.</w:t>
      </w:r>
    </w:p>
    <w:p w:rsidR="00000000" w:rsidDel="00000000" w:rsidP="00000000" w:rsidRDefault="00000000" w:rsidRPr="00000000" w14:paraId="00000083">
      <w:pPr>
        <w:spacing w:after="240" w:before="240" w:lineRule="auto"/>
        <w:jc w:val="both"/>
        <w:rPr>
          <w:highlight w:val="white"/>
        </w:rPr>
      </w:pPr>
      <w:r w:rsidDel="00000000" w:rsidR="00000000" w:rsidRPr="00000000">
        <w:rPr>
          <w:highlight w:val="white"/>
          <w:rtl w:val="0"/>
        </w:rPr>
        <w:t xml:space="preserve">To Sohom Banerjee, thank you for grounding my ideas in rigorous methodology. From PLS-SEM to fsQCA, your statistical clarity and research insight sharpened every aspect of this study. I’m better because of your involvement.</w:t>
      </w:r>
    </w:p>
    <w:p w:rsidR="00000000" w:rsidDel="00000000" w:rsidP="00000000" w:rsidRDefault="00000000" w:rsidRPr="00000000" w14:paraId="00000084">
      <w:pPr>
        <w:spacing w:after="240" w:before="240" w:lineRule="auto"/>
        <w:jc w:val="both"/>
        <w:rPr>
          <w:highlight w:val="white"/>
        </w:rPr>
      </w:pPr>
      <w:r w:rsidDel="00000000" w:rsidR="00000000" w:rsidRPr="00000000">
        <w:rPr>
          <w:highlight w:val="white"/>
          <w:rtl w:val="0"/>
        </w:rPr>
        <w:t xml:space="preserve">To Greg Diehl, my publisher and future collaborator: thank you for helping me see the potential of this work beyond the dissertation. I’m excited to turn this into something useful, readable, and truly alive.</w:t>
      </w:r>
    </w:p>
    <w:p w:rsidR="00000000" w:rsidDel="00000000" w:rsidP="00000000" w:rsidRDefault="00000000" w:rsidRPr="00000000" w14:paraId="00000085">
      <w:pPr>
        <w:spacing w:after="240" w:before="240" w:lineRule="auto"/>
        <w:jc w:val="both"/>
        <w:rPr>
          <w:highlight w:val="white"/>
        </w:rPr>
      </w:pPr>
      <w:r w:rsidDel="00000000" w:rsidR="00000000" w:rsidRPr="00000000">
        <w:rPr>
          <w:highlight w:val="white"/>
          <w:rtl w:val="0"/>
        </w:rPr>
        <w:t xml:space="preserve">To my ReEnergized team, thank you for helping put this into practice—where theory meets therapy, and ideas meet people.</w:t>
      </w:r>
    </w:p>
    <w:p w:rsidR="00000000" w:rsidDel="00000000" w:rsidP="00000000" w:rsidRDefault="00000000" w:rsidRPr="00000000" w14:paraId="00000086">
      <w:pPr>
        <w:spacing w:after="240" w:before="240" w:lineRule="auto"/>
        <w:jc w:val="both"/>
        <w:rPr>
          <w:highlight w:val="white"/>
        </w:rPr>
      </w:pPr>
      <w:r w:rsidDel="00000000" w:rsidR="00000000" w:rsidRPr="00000000">
        <w:rPr>
          <w:highlight w:val="white"/>
          <w:rtl w:val="0"/>
        </w:rPr>
        <w:t xml:space="preserve">To my father, whose journey from alpha to MS patient changed me forever. That experience cracked something open and sparked an obsession with control, longevity, and resilience. To my grandmother, our matriarch, whose wit and strength continue to guide me. And to my mother, whose push and pull helped me develop a deep respect for balance, pacing, and aging with grace.</w:t>
      </w:r>
    </w:p>
    <w:p w:rsidR="00000000" w:rsidDel="00000000" w:rsidP="00000000" w:rsidRDefault="00000000" w:rsidRPr="00000000" w14:paraId="00000087">
      <w:pPr>
        <w:spacing w:after="240" w:before="240" w:lineRule="auto"/>
        <w:jc w:val="both"/>
        <w:rPr>
          <w:highlight w:val="white"/>
        </w:rPr>
      </w:pPr>
      <w:r w:rsidDel="00000000" w:rsidR="00000000" w:rsidRPr="00000000">
        <w:rPr>
          <w:highlight w:val="white"/>
          <w:rtl w:val="0"/>
        </w:rPr>
        <w:t xml:space="preserve">To Laura, my partner in pain, recovery, and cosmic curiosity—I wouldn’t want to explore this strange, beautiful world with anyone else.</w:t>
      </w:r>
    </w:p>
    <w:p w:rsidR="00000000" w:rsidDel="00000000" w:rsidP="00000000" w:rsidRDefault="00000000" w:rsidRPr="00000000" w14:paraId="00000088">
      <w:pPr>
        <w:spacing w:after="240" w:before="240" w:lineRule="auto"/>
        <w:jc w:val="both"/>
        <w:rPr>
          <w:highlight w:val="white"/>
        </w:rPr>
      </w:pPr>
      <w:r w:rsidDel="00000000" w:rsidR="00000000" w:rsidRPr="00000000">
        <w:rPr>
          <w:highlight w:val="white"/>
          <w:rtl w:val="0"/>
        </w:rPr>
        <w:t xml:space="preserve">To my kids, thank you for anchoring me to the present and reminding me that no matter how far I go in thought, tech, or time, home is here.</w:t>
      </w:r>
    </w:p>
    <w:p w:rsidR="00000000" w:rsidDel="00000000" w:rsidP="00000000" w:rsidRDefault="00000000" w:rsidRPr="00000000" w14:paraId="00000089">
      <w:pPr>
        <w:spacing w:after="240" w:before="240" w:lineRule="auto"/>
        <w:jc w:val="both"/>
        <w:rPr>
          <w:highlight w:val="white"/>
        </w:rPr>
      </w:pPr>
      <w:r w:rsidDel="00000000" w:rsidR="00000000" w:rsidRPr="00000000">
        <w:rPr>
          <w:highlight w:val="white"/>
          <w:rtl w:val="0"/>
        </w:rPr>
        <w:t xml:space="preserve">To our cats, Pepe and Lupita—Pepe, we love you dearly and miss you every day. Your passing left a hole, but also a spark: the idea to create something meaningful in your memory. A wellness solution—perhaps through light or color therapy—that helps other animal parents provide palliative care, comfort, and continued connection to the ones they love. We don’t do enough for our extended family—especially those who can’t speak for themselves—and your life reminds us just how much they deserve.</w:t>
      </w:r>
    </w:p>
    <w:p w:rsidR="00000000" w:rsidDel="00000000" w:rsidP="00000000" w:rsidRDefault="00000000" w:rsidRPr="00000000" w14:paraId="0000008A">
      <w:pPr>
        <w:spacing w:after="240" w:before="240" w:lineRule="auto"/>
        <w:jc w:val="both"/>
        <w:rPr>
          <w:highlight w:val="white"/>
        </w:rPr>
      </w:pPr>
      <w:r w:rsidDel="00000000" w:rsidR="00000000" w:rsidRPr="00000000">
        <w:rPr>
          <w:highlight w:val="white"/>
          <w:rtl w:val="0"/>
        </w:rPr>
        <w:t xml:space="preserve">To H. pylori, yes—you. Without you inflaming my gut and waking me up to what was wrong, I might never have started hacking my biology at all.</w:t>
      </w:r>
    </w:p>
    <w:p w:rsidR="00000000" w:rsidDel="00000000" w:rsidP="00000000" w:rsidRDefault="00000000" w:rsidRPr="00000000" w14:paraId="0000008B">
      <w:pPr>
        <w:spacing w:after="240" w:before="240" w:lineRule="auto"/>
        <w:jc w:val="both"/>
        <w:rPr>
          <w:highlight w:val="white"/>
        </w:rPr>
      </w:pPr>
      <w:r w:rsidDel="00000000" w:rsidR="00000000" w:rsidRPr="00000000">
        <w:rPr>
          <w:highlight w:val="white"/>
          <w:rtl w:val="0"/>
        </w:rPr>
        <w:t xml:space="preserve">And finally, to the version of me who kept going—especially when it was easier not to: I see you, and I thank you.</w:t>
      </w:r>
    </w:p>
    <w:p w:rsidR="00000000" w:rsidDel="00000000" w:rsidP="00000000" w:rsidRDefault="00000000" w:rsidRPr="00000000" w14:paraId="0000008C">
      <w:pPr>
        <w:spacing w:after="240" w:before="240" w:lineRule="auto"/>
        <w:jc w:val="both"/>
        <w:rPr>
          <w:highlight w:val="white"/>
        </w:rPr>
      </w:pPr>
      <w:r w:rsidDel="00000000" w:rsidR="00000000" w:rsidRPr="00000000">
        <w:rPr>
          <w:highlight w:val="white"/>
          <w:rtl w:val="0"/>
        </w:rPr>
        <w:t xml:space="preserve">In this life, I have so much to be grateful for. Trying to capture it all here is impossible—but I hope this is a start.</w:t>
      </w:r>
    </w:p>
    <w:p w:rsidR="00000000" w:rsidDel="00000000" w:rsidP="00000000" w:rsidRDefault="00000000" w:rsidRPr="00000000" w14:paraId="0000008D">
      <w:pPr>
        <w:spacing w:after="240" w:before="240" w:lineRule="auto"/>
        <w:jc w:val="both"/>
        <w:rPr>
          <w:highlight w:val="white"/>
        </w:rPr>
      </w:pPr>
      <w:r w:rsidDel="00000000" w:rsidR="00000000" w:rsidRPr="00000000">
        <w:rPr>
          <w:rtl w:val="0"/>
        </w:rPr>
      </w:r>
    </w:p>
    <w:p w:rsidR="00000000" w:rsidDel="00000000" w:rsidP="00000000" w:rsidRDefault="00000000" w:rsidRPr="00000000" w14:paraId="0000008E">
      <w:pPr>
        <w:jc w:val="both"/>
        <w:rPr>
          <w:highlight w:val="white"/>
        </w:rPr>
      </w:pPr>
      <w:r w:rsidDel="00000000" w:rsidR="00000000" w:rsidRPr="00000000">
        <w:rPr>
          <w:rtl w:val="0"/>
        </w:rPr>
      </w:r>
    </w:p>
    <w:p w:rsidR="00000000" w:rsidDel="00000000" w:rsidP="00000000" w:rsidRDefault="00000000" w:rsidRPr="00000000" w14:paraId="0000008F">
      <w:pPr>
        <w:jc w:val="both"/>
        <w:rPr>
          <w:smallCaps w:val="1"/>
          <w:color w:val="0d0d0d"/>
          <w:highlight w:val="white"/>
        </w:rPr>
      </w:pPr>
      <w:r w:rsidDel="00000000" w:rsidR="00000000" w:rsidRPr="00000000">
        <w:rPr>
          <w:rtl w:val="0"/>
        </w:rPr>
      </w:r>
    </w:p>
    <w:p w:rsidR="00000000" w:rsidDel="00000000" w:rsidP="00000000" w:rsidRDefault="00000000" w:rsidRPr="00000000" w14:paraId="00000090">
      <w:pPr>
        <w:jc w:val="both"/>
        <w:rPr>
          <w:smallCaps w:val="1"/>
          <w:color w:val="0d0d0d"/>
          <w:highlight w:val="white"/>
        </w:rPr>
      </w:pPr>
      <w:r w:rsidDel="00000000" w:rsidR="00000000" w:rsidRPr="00000000">
        <w:rPr>
          <w:rtl w:val="0"/>
        </w:rPr>
      </w:r>
    </w:p>
    <w:p w:rsidR="00000000" w:rsidDel="00000000" w:rsidP="00000000" w:rsidRDefault="00000000" w:rsidRPr="00000000" w14:paraId="00000091">
      <w:pPr>
        <w:jc w:val="both"/>
        <w:rPr>
          <w:smallCaps w:val="1"/>
          <w:color w:val="0d0d0d"/>
          <w:highlight w:val="white"/>
        </w:rPr>
      </w:pPr>
      <w:r w:rsidDel="00000000" w:rsidR="00000000" w:rsidRPr="00000000">
        <w:rPr>
          <w:rtl w:val="0"/>
        </w:rPr>
      </w:r>
    </w:p>
    <w:p w:rsidR="00000000" w:rsidDel="00000000" w:rsidP="00000000" w:rsidRDefault="00000000" w:rsidRPr="00000000" w14:paraId="00000092">
      <w:pPr>
        <w:jc w:val="both"/>
        <w:rPr>
          <w:smallCaps w:val="1"/>
          <w:color w:val="0d0d0d"/>
          <w:highlight w:val="white"/>
        </w:rPr>
      </w:pPr>
      <w:r w:rsidDel="00000000" w:rsidR="00000000" w:rsidRPr="00000000">
        <w:rPr>
          <w:rtl w:val="0"/>
        </w:rPr>
      </w:r>
    </w:p>
    <w:p w:rsidR="00000000" w:rsidDel="00000000" w:rsidP="00000000" w:rsidRDefault="00000000" w:rsidRPr="00000000" w14:paraId="00000093">
      <w:pPr>
        <w:jc w:val="both"/>
        <w:rPr>
          <w:smallCaps w:val="1"/>
          <w:color w:val="0d0d0d"/>
          <w:highlight w:val="white"/>
        </w:rPr>
      </w:pPr>
      <w:r w:rsidDel="00000000" w:rsidR="00000000" w:rsidRPr="00000000">
        <w:rPr>
          <w:rtl w:val="0"/>
        </w:rPr>
      </w:r>
    </w:p>
    <w:p w:rsidR="00000000" w:rsidDel="00000000" w:rsidP="00000000" w:rsidRDefault="00000000" w:rsidRPr="00000000" w14:paraId="00000094">
      <w:pPr>
        <w:jc w:val="both"/>
        <w:rPr>
          <w:smallCaps w:val="1"/>
          <w:color w:val="0d0d0d"/>
          <w:highlight w:val="white"/>
        </w:rPr>
      </w:pPr>
      <w:r w:rsidDel="00000000" w:rsidR="00000000" w:rsidRPr="00000000">
        <w:rPr>
          <w:rtl w:val="0"/>
        </w:rPr>
      </w:r>
    </w:p>
    <w:p w:rsidR="00000000" w:rsidDel="00000000" w:rsidP="00000000" w:rsidRDefault="00000000" w:rsidRPr="00000000" w14:paraId="00000095">
      <w:pPr>
        <w:jc w:val="both"/>
        <w:rPr>
          <w:smallCaps w:val="1"/>
          <w:color w:val="0d0d0d"/>
          <w:highlight w:val="white"/>
        </w:rPr>
      </w:pPr>
      <w:r w:rsidDel="00000000" w:rsidR="00000000" w:rsidRPr="00000000">
        <w:rPr>
          <w:rtl w:val="0"/>
        </w:rPr>
      </w:r>
    </w:p>
    <w:p w:rsidR="00000000" w:rsidDel="00000000" w:rsidP="00000000" w:rsidRDefault="00000000" w:rsidRPr="00000000" w14:paraId="00000096">
      <w:pPr>
        <w:jc w:val="both"/>
        <w:rPr>
          <w:smallCaps w:val="1"/>
          <w:color w:val="0d0d0d"/>
          <w:highlight w:val="white"/>
        </w:rPr>
      </w:pPr>
      <w:r w:rsidDel="00000000" w:rsidR="00000000" w:rsidRPr="00000000">
        <w:rPr>
          <w:rtl w:val="0"/>
        </w:rPr>
      </w:r>
    </w:p>
    <w:p w:rsidR="00000000" w:rsidDel="00000000" w:rsidP="00000000" w:rsidRDefault="00000000" w:rsidRPr="00000000" w14:paraId="00000097">
      <w:pPr>
        <w:jc w:val="both"/>
        <w:rPr>
          <w:smallCaps w:val="1"/>
          <w:color w:val="0d0d0d"/>
          <w:highlight w:val="white"/>
        </w:rPr>
      </w:pPr>
      <w:r w:rsidDel="00000000" w:rsidR="00000000" w:rsidRPr="00000000">
        <w:rPr>
          <w:rtl w:val="0"/>
        </w:rPr>
      </w:r>
    </w:p>
    <w:p w:rsidR="00000000" w:rsidDel="00000000" w:rsidP="00000000" w:rsidRDefault="00000000" w:rsidRPr="00000000" w14:paraId="00000098">
      <w:pPr>
        <w:jc w:val="both"/>
        <w:rPr>
          <w:smallCaps w:val="1"/>
          <w:color w:val="0d0d0d"/>
          <w:highlight w:val="white"/>
        </w:rPr>
      </w:pPr>
      <w:r w:rsidDel="00000000" w:rsidR="00000000" w:rsidRPr="00000000">
        <w:rPr>
          <w:rtl w:val="0"/>
        </w:rPr>
      </w:r>
    </w:p>
    <w:p w:rsidR="00000000" w:rsidDel="00000000" w:rsidP="00000000" w:rsidRDefault="00000000" w:rsidRPr="00000000" w14:paraId="00000099">
      <w:pPr>
        <w:jc w:val="both"/>
        <w:rPr>
          <w:smallCaps w:val="1"/>
          <w:color w:val="0d0d0d"/>
          <w:highlight w:val="white"/>
        </w:rPr>
      </w:pPr>
      <w:r w:rsidDel="00000000" w:rsidR="00000000" w:rsidRPr="00000000">
        <w:rPr>
          <w:rtl w:val="0"/>
        </w:rPr>
      </w:r>
    </w:p>
    <w:p w:rsidR="00000000" w:rsidDel="00000000" w:rsidP="00000000" w:rsidRDefault="00000000" w:rsidRPr="00000000" w14:paraId="0000009A">
      <w:pPr>
        <w:jc w:val="both"/>
        <w:rPr>
          <w:smallCaps w:val="1"/>
          <w:color w:val="0d0d0d"/>
          <w:highlight w:val="white"/>
        </w:rPr>
      </w:pPr>
      <w:r w:rsidDel="00000000" w:rsidR="00000000" w:rsidRPr="00000000">
        <w:rPr>
          <w:rtl w:val="0"/>
        </w:rPr>
      </w:r>
    </w:p>
    <w:p w:rsidR="00000000" w:rsidDel="00000000" w:rsidP="00000000" w:rsidRDefault="00000000" w:rsidRPr="00000000" w14:paraId="0000009B">
      <w:pPr>
        <w:jc w:val="both"/>
        <w:rPr>
          <w:smallCaps w:val="1"/>
          <w:color w:val="0d0d0d"/>
          <w:highlight w:val="white"/>
        </w:rPr>
      </w:pPr>
      <w:r w:rsidDel="00000000" w:rsidR="00000000" w:rsidRPr="00000000">
        <w:rPr>
          <w:rtl w:val="0"/>
        </w:rPr>
      </w:r>
    </w:p>
    <w:p w:rsidR="00000000" w:rsidDel="00000000" w:rsidP="00000000" w:rsidRDefault="00000000" w:rsidRPr="00000000" w14:paraId="0000009C">
      <w:pPr>
        <w:jc w:val="both"/>
        <w:rPr>
          <w:smallCaps w:val="1"/>
          <w:color w:val="0d0d0d"/>
          <w:highlight w:val="white"/>
        </w:rPr>
      </w:pPr>
      <w:r w:rsidDel="00000000" w:rsidR="00000000" w:rsidRPr="00000000">
        <w:rPr>
          <w:rtl w:val="0"/>
        </w:rPr>
      </w:r>
    </w:p>
    <w:p w:rsidR="00000000" w:rsidDel="00000000" w:rsidP="00000000" w:rsidRDefault="00000000" w:rsidRPr="00000000" w14:paraId="0000009D">
      <w:pPr>
        <w:jc w:val="both"/>
        <w:rPr>
          <w:smallCaps w:val="1"/>
          <w:color w:val="0d0d0d"/>
          <w:highlight w:val="white"/>
        </w:rPr>
      </w:pPr>
      <w:r w:rsidDel="00000000" w:rsidR="00000000" w:rsidRPr="00000000">
        <w:rPr>
          <w:rtl w:val="0"/>
        </w:rPr>
      </w:r>
    </w:p>
    <w:p w:rsidR="00000000" w:rsidDel="00000000" w:rsidP="00000000" w:rsidRDefault="00000000" w:rsidRPr="00000000" w14:paraId="0000009E">
      <w:pPr>
        <w:jc w:val="both"/>
        <w:rPr>
          <w:smallCaps w:val="1"/>
          <w:color w:val="0d0d0d"/>
          <w:highlight w:val="white"/>
        </w:rPr>
      </w:pPr>
      <w:r w:rsidDel="00000000" w:rsidR="00000000" w:rsidRPr="00000000">
        <w:rPr>
          <w:rtl w:val="0"/>
        </w:rPr>
      </w:r>
    </w:p>
    <w:p w:rsidR="00000000" w:rsidDel="00000000" w:rsidP="00000000" w:rsidRDefault="00000000" w:rsidRPr="00000000" w14:paraId="0000009F">
      <w:pPr>
        <w:jc w:val="both"/>
        <w:rPr>
          <w:smallCaps w:val="1"/>
          <w:color w:val="0d0d0d"/>
          <w:highlight w:val="white"/>
        </w:rPr>
      </w:pPr>
      <w:r w:rsidDel="00000000" w:rsidR="00000000" w:rsidRPr="00000000">
        <w:rPr>
          <w:rtl w:val="0"/>
        </w:rPr>
      </w:r>
    </w:p>
    <w:p w:rsidR="00000000" w:rsidDel="00000000" w:rsidP="00000000" w:rsidRDefault="00000000" w:rsidRPr="00000000" w14:paraId="000000A0">
      <w:pPr>
        <w:jc w:val="both"/>
        <w:rPr>
          <w:smallCaps w:val="1"/>
          <w:color w:val="0d0d0d"/>
          <w:highlight w:val="white"/>
        </w:rPr>
      </w:pPr>
      <w:r w:rsidDel="00000000" w:rsidR="00000000" w:rsidRPr="00000000">
        <w:rPr>
          <w:rtl w:val="0"/>
        </w:rPr>
      </w:r>
    </w:p>
    <w:p w:rsidR="00000000" w:rsidDel="00000000" w:rsidP="00000000" w:rsidRDefault="00000000" w:rsidRPr="00000000" w14:paraId="000000A1">
      <w:pPr>
        <w:jc w:val="both"/>
        <w:rPr>
          <w:smallCaps w:val="1"/>
          <w:color w:val="0d0d0d"/>
          <w:highlight w:val="white"/>
        </w:rPr>
      </w:pPr>
      <w:r w:rsidDel="00000000" w:rsidR="00000000" w:rsidRPr="00000000">
        <w:rPr>
          <w:rtl w:val="0"/>
        </w:rPr>
      </w:r>
    </w:p>
    <w:p w:rsidR="00000000" w:rsidDel="00000000" w:rsidP="00000000" w:rsidRDefault="00000000" w:rsidRPr="00000000" w14:paraId="000000A2">
      <w:pPr>
        <w:jc w:val="both"/>
        <w:rPr>
          <w:smallCaps w:val="1"/>
          <w:color w:val="0d0d0d"/>
          <w:highlight w:val="white"/>
        </w:rPr>
      </w:pPr>
      <w:r w:rsidDel="00000000" w:rsidR="00000000" w:rsidRPr="00000000">
        <w:rPr>
          <w:rtl w:val="0"/>
        </w:rPr>
      </w:r>
    </w:p>
    <w:p w:rsidR="00000000" w:rsidDel="00000000" w:rsidP="00000000" w:rsidRDefault="00000000" w:rsidRPr="00000000" w14:paraId="000000A3">
      <w:pPr>
        <w:jc w:val="both"/>
        <w:rPr>
          <w:smallCaps w:val="1"/>
          <w:color w:val="0d0d0d"/>
          <w:highlight w:val="white"/>
        </w:rPr>
      </w:pPr>
      <w:r w:rsidDel="00000000" w:rsidR="00000000" w:rsidRPr="00000000">
        <w:rPr>
          <w:rtl w:val="0"/>
        </w:rPr>
      </w:r>
    </w:p>
    <w:p w:rsidR="00000000" w:rsidDel="00000000" w:rsidP="00000000" w:rsidRDefault="00000000" w:rsidRPr="00000000" w14:paraId="000000A4">
      <w:pPr>
        <w:jc w:val="both"/>
        <w:rPr>
          <w:smallCaps w:val="1"/>
          <w:color w:val="0d0d0d"/>
          <w:highlight w:val="white"/>
        </w:rPr>
      </w:pPr>
      <w:r w:rsidDel="00000000" w:rsidR="00000000" w:rsidRPr="00000000">
        <w:rPr>
          <w:rtl w:val="0"/>
        </w:rPr>
      </w:r>
    </w:p>
    <w:p w:rsidR="00000000" w:rsidDel="00000000" w:rsidP="00000000" w:rsidRDefault="00000000" w:rsidRPr="00000000" w14:paraId="000000A5">
      <w:pPr>
        <w:jc w:val="both"/>
        <w:rPr>
          <w:smallCaps w:val="1"/>
          <w:color w:val="0d0d0d"/>
          <w:highlight w:val="white"/>
        </w:rPr>
      </w:pPr>
      <w:r w:rsidDel="00000000" w:rsidR="00000000" w:rsidRPr="00000000">
        <w:rPr>
          <w:rtl w:val="0"/>
        </w:rPr>
      </w:r>
    </w:p>
    <w:p w:rsidR="00000000" w:rsidDel="00000000" w:rsidP="00000000" w:rsidRDefault="00000000" w:rsidRPr="00000000" w14:paraId="000000A6">
      <w:pPr>
        <w:jc w:val="both"/>
        <w:rPr>
          <w:smallCaps w:val="1"/>
          <w:color w:val="0d0d0d"/>
          <w:highlight w:val="white"/>
        </w:rPr>
      </w:pPr>
      <w:r w:rsidDel="00000000" w:rsidR="00000000" w:rsidRPr="00000000">
        <w:rPr>
          <w:rtl w:val="0"/>
        </w:rPr>
      </w:r>
    </w:p>
    <w:p w:rsidR="00000000" w:rsidDel="00000000" w:rsidP="00000000" w:rsidRDefault="00000000" w:rsidRPr="00000000" w14:paraId="000000A7">
      <w:pPr>
        <w:jc w:val="both"/>
        <w:rPr>
          <w:smallCaps w:val="1"/>
          <w:color w:val="0d0d0d"/>
          <w:highlight w:val="white"/>
        </w:rPr>
      </w:pPr>
      <w:r w:rsidDel="00000000" w:rsidR="00000000" w:rsidRPr="00000000">
        <w:rPr>
          <w:rtl w:val="0"/>
        </w:rPr>
      </w:r>
    </w:p>
    <w:p w:rsidR="00000000" w:rsidDel="00000000" w:rsidP="00000000" w:rsidRDefault="00000000" w:rsidRPr="00000000" w14:paraId="000000A8">
      <w:pPr>
        <w:jc w:val="both"/>
        <w:rPr>
          <w:smallCaps w:val="1"/>
          <w:color w:val="0d0d0d"/>
          <w:highlight w:val="white"/>
        </w:rPr>
      </w:pPr>
      <w:r w:rsidDel="00000000" w:rsidR="00000000" w:rsidRPr="00000000">
        <w:rPr>
          <w:rtl w:val="0"/>
        </w:rPr>
      </w:r>
    </w:p>
    <w:p w:rsidR="00000000" w:rsidDel="00000000" w:rsidP="00000000" w:rsidRDefault="00000000" w:rsidRPr="00000000" w14:paraId="000000A9">
      <w:pPr>
        <w:spacing w:after="280" w:before="280" w:lineRule="auto"/>
        <w:rPr>
          <w:smallCaps w:val="1"/>
          <w:color w:val="0d0d0d"/>
          <w:highlight w:val="white"/>
        </w:rPr>
      </w:pPr>
      <w:r w:rsidDel="00000000" w:rsidR="00000000" w:rsidRPr="00000000">
        <w:rPr>
          <w:rtl w:val="0"/>
        </w:rPr>
      </w:r>
    </w:p>
    <w:p w:rsidR="00000000" w:rsidDel="00000000" w:rsidP="00000000" w:rsidRDefault="00000000" w:rsidRPr="00000000" w14:paraId="000000AA">
      <w:pPr>
        <w:spacing w:after="280" w:before="280" w:lineRule="auto"/>
        <w:jc w:val="center"/>
        <w:rPr>
          <w:color w:val="000000"/>
        </w:rPr>
      </w:pPr>
      <w:r w:rsidDel="00000000" w:rsidR="00000000" w:rsidRPr="00000000">
        <w:rPr>
          <w:b w:val="1"/>
          <w:color w:val="000000"/>
          <w:rtl w:val="0"/>
        </w:rPr>
        <w:t xml:space="preserve">ABBREVIATIONS</w:t>
      </w:r>
      <w:r w:rsidDel="00000000" w:rsidR="00000000" w:rsidRPr="00000000">
        <w:rPr>
          <w:rtl w:val="0"/>
        </w:rPr>
      </w:r>
    </w:p>
    <w:p w:rsidR="00000000" w:rsidDel="00000000" w:rsidP="00000000" w:rsidRDefault="00000000" w:rsidRPr="00000000" w14:paraId="000000AB">
      <w:pPr>
        <w:spacing w:after="280" w:before="280" w:lineRule="auto"/>
        <w:rPr/>
      </w:pPr>
      <w:r w:rsidDel="00000000" w:rsidR="00000000" w:rsidRPr="00000000">
        <w:rPr>
          <w:b w:val="1"/>
          <w:rtl w:val="0"/>
        </w:rPr>
        <w:t xml:space="preserve">AI</w:t>
      </w:r>
      <w:r w:rsidDel="00000000" w:rsidR="00000000" w:rsidRPr="00000000">
        <w:rPr>
          <w:rtl w:val="0"/>
        </w:rPr>
        <w:t xml:space="preserve"> – Artificial Intelligence</w:t>
      </w:r>
    </w:p>
    <w:p w:rsidR="00000000" w:rsidDel="00000000" w:rsidP="00000000" w:rsidRDefault="00000000" w:rsidRPr="00000000" w14:paraId="000000AC">
      <w:pPr>
        <w:spacing w:after="280" w:before="280" w:lineRule="auto"/>
        <w:rPr/>
      </w:pPr>
      <w:r w:rsidDel="00000000" w:rsidR="00000000" w:rsidRPr="00000000">
        <w:rPr>
          <w:b w:val="1"/>
          <w:rtl w:val="0"/>
        </w:rPr>
        <w:t xml:space="preserve">B2B</w:t>
      </w:r>
      <w:r w:rsidDel="00000000" w:rsidR="00000000" w:rsidRPr="00000000">
        <w:rPr>
          <w:rtl w:val="0"/>
        </w:rPr>
        <w:t xml:space="preserve"> – Business-to-Business</w:t>
      </w:r>
    </w:p>
    <w:p w:rsidR="00000000" w:rsidDel="00000000" w:rsidP="00000000" w:rsidRDefault="00000000" w:rsidRPr="00000000" w14:paraId="000000AD">
      <w:pPr>
        <w:spacing w:after="280" w:before="280" w:lineRule="auto"/>
        <w:rPr/>
      </w:pPr>
      <w:r w:rsidDel="00000000" w:rsidR="00000000" w:rsidRPr="00000000">
        <w:rPr>
          <w:b w:val="1"/>
          <w:rtl w:val="0"/>
        </w:rPr>
        <w:t xml:space="preserve">B2C</w:t>
      </w:r>
      <w:r w:rsidDel="00000000" w:rsidR="00000000" w:rsidRPr="00000000">
        <w:rPr>
          <w:rtl w:val="0"/>
        </w:rPr>
        <w:t xml:space="preserve"> – Business-to-Consumer</w:t>
      </w:r>
    </w:p>
    <w:p w:rsidR="00000000" w:rsidDel="00000000" w:rsidP="00000000" w:rsidRDefault="00000000" w:rsidRPr="00000000" w14:paraId="000000AE">
      <w:pPr>
        <w:spacing w:after="280" w:before="280" w:lineRule="auto"/>
        <w:rPr/>
      </w:pPr>
      <w:r w:rsidDel="00000000" w:rsidR="00000000" w:rsidRPr="00000000">
        <w:rPr>
          <w:b w:val="1"/>
          <w:rtl w:val="0"/>
        </w:rPr>
        <w:t xml:space="preserve">CX</w:t>
      </w:r>
      <w:r w:rsidDel="00000000" w:rsidR="00000000" w:rsidRPr="00000000">
        <w:rPr>
          <w:rtl w:val="0"/>
        </w:rPr>
        <w:t xml:space="preserve"> – Customer Experience</w:t>
      </w:r>
    </w:p>
    <w:p w:rsidR="00000000" w:rsidDel="00000000" w:rsidP="00000000" w:rsidRDefault="00000000" w:rsidRPr="00000000" w14:paraId="000000AF">
      <w:pPr>
        <w:spacing w:after="280" w:before="280" w:lineRule="auto"/>
        <w:rPr/>
      </w:pPr>
      <w:r w:rsidDel="00000000" w:rsidR="00000000" w:rsidRPr="00000000">
        <w:rPr>
          <w:b w:val="1"/>
          <w:rtl w:val="0"/>
        </w:rPr>
        <w:t xml:space="preserve">D2C</w:t>
      </w:r>
      <w:r w:rsidDel="00000000" w:rsidR="00000000" w:rsidRPr="00000000">
        <w:rPr>
          <w:rtl w:val="0"/>
        </w:rPr>
        <w:t xml:space="preserve"> – Direct-to-Consumer</w:t>
      </w:r>
    </w:p>
    <w:p w:rsidR="00000000" w:rsidDel="00000000" w:rsidP="00000000" w:rsidRDefault="00000000" w:rsidRPr="00000000" w14:paraId="000000B0">
      <w:pPr>
        <w:spacing w:after="280" w:before="280" w:lineRule="auto"/>
        <w:rPr/>
      </w:pPr>
      <w:r w:rsidDel="00000000" w:rsidR="00000000" w:rsidRPr="00000000">
        <w:rPr>
          <w:b w:val="1"/>
          <w:rtl w:val="0"/>
        </w:rPr>
        <w:t xml:space="preserve">DTx</w:t>
      </w:r>
      <w:r w:rsidDel="00000000" w:rsidR="00000000" w:rsidRPr="00000000">
        <w:rPr>
          <w:rtl w:val="0"/>
        </w:rPr>
        <w:t xml:space="preserve"> – Digital Therapeutics</w:t>
      </w:r>
    </w:p>
    <w:p w:rsidR="00000000" w:rsidDel="00000000" w:rsidP="00000000" w:rsidRDefault="00000000" w:rsidRPr="00000000" w14:paraId="000000B1">
      <w:pPr>
        <w:spacing w:after="280" w:before="280" w:lineRule="auto"/>
        <w:rPr/>
      </w:pPr>
      <w:r w:rsidDel="00000000" w:rsidR="00000000" w:rsidRPr="00000000">
        <w:rPr>
          <w:b w:val="1"/>
          <w:rtl w:val="0"/>
        </w:rPr>
        <w:t xml:space="preserve">FDA</w:t>
      </w:r>
      <w:r w:rsidDel="00000000" w:rsidR="00000000" w:rsidRPr="00000000">
        <w:rPr>
          <w:rtl w:val="0"/>
        </w:rPr>
        <w:t xml:space="preserve"> – Food and Drug Administration</w:t>
      </w:r>
    </w:p>
    <w:p w:rsidR="00000000" w:rsidDel="00000000" w:rsidP="00000000" w:rsidRDefault="00000000" w:rsidRPr="00000000" w14:paraId="000000B2">
      <w:pPr>
        <w:spacing w:after="280" w:before="280" w:lineRule="auto"/>
        <w:rPr/>
      </w:pPr>
      <w:r w:rsidDel="00000000" w:rsidR="00000000" w:rsidRPr="00000000">
        <w:rPr>
          <w:b w:val="1"/>
          <w:rtl w:val="0"/>
        </w:rPr>
        <w:t xml:space="preserve">GDPR</w:t>
      </w:r>
      <w:r w:rsidDel="00000000" w:rsidR="00000000" w:rsidRPr="00000000">
        <w:rPr>
          <w:rtl w:val="0"/>
        </w:rPr>
        <w:t xml:space="preserve"> – General Data Protection Regulation</w:t>
      </w:r>
    </w:p>
    <w:p w:rsidR="00000000" w:rsidDel="00000000" w:rsidP="00000000" w:rsidRDefault="00000000" w:rsidRPr="00000000" w14:paraId="000000B3">
      <w:pPr>
        <w:spacing w:after="280" w:before="280" w:lineRule="auto"/>
        <w:rPr/>
      </w:pPr>
      <w:r w:rsidDel="00000000" w:rsidR="00000000" w:rsidRPr="00000000">
        <w:rPr>
          <w:b w:val="1"/>
          <w:rtl w:val="0"/>
        </w:rPr>
        <w:t xml:space="preserve">HBOT</w:t>
      </w:r>
      <w:r w:rsidDel="00000000" w:rsidR="00000000" w:rsidRPr="00000000">
        <w:rPr>
          <w:rtl w:val="0"/>
        </w:rPr>
        <w:t xml:space="preserve"> – Hyperbaric Oxygen Therapy</w:t>
      </w:r>
    </w:p>
    <w:p w:rsidR="00000000" w:rsidDel="00000000" w:rsidP="00000000" w:rsidRDefault="00000000" w:rsidRPr="00000000" w14:paraId="000000B4">
      <w:pPr>
        <w:spacing w:after="280" w:before="280" w:lineRule="auto"/>
        <w:rPr/>
      </w:pPr>
      <w:r w:rsidDel="00000000" w:rsidR="00000000" w:rsidRPr="00000000">
        <w:rPr>
          <w:b w:val="1"/>
          <w:rtl w:val="0"/>
        </w:rPr>
        <w:t xml:space="preserve">HIPAA</w:t>
      </w:r>
      <w:r w:rsidDel="00000000" w:rsidR="00000000" w:rsidRPr="00000000">
        <w:rPr>
          <w:rtl w:val="0"/>
        </w:rPr>
        <w:t xml:space="preserve"> – Health Insurance Portability and Accountability Act</w:t>
      </w:r>
    </w:p>
    <w:p w:rsidR="00000000" w:rsidDel="00000000" w:rsidP="00000000" w:rsidRDefault="00000000" w:rsidRPr="00000000" w14:paraId="000000B5">
      <w:pPr>
        <w:spacing w:after="280" w:before="280" w:lineRule="auto"/>
        <w:rPr/>
      </w:pPr>
      <w:r w:rsidDel="00000000" w:rsidR="00000000" w:rsidRPr="00000000">
        <w:rPr>
          <w:b w:val="1"/>
          <w:rtl w:val="0"/>
        </w:rPr>
        <w:t xml:space="preserve">HRV</w:t>
      </w:r>
      <w:r w:rsidDel="00000000" w:rsidR="00000000" w:rsidRPr="00000000">
        <w:rPr>
          <w:rtl w:val="0"/>
        </w:rPr>
        <w:t xml:space="preserve"> – Heart Rate Variability</w:t>
      </w:r>
    </w:p>
    <w:p w:rsidR="00000000" w:rsidDel="00000000" w:rsidP="00000000" w:rsidRDefault="00000000" w:rsidRPr="00000000" w14:paraId="000000B6">
      <w:pPr>
        <w:spacing w:after="280" w:before="280" w:lineRule="auto"/>
        <w:rPr/>
      </w:pPr>
      <w:r w:rsidDel="00000000" w:rsidR="00000000" w:rsidRPr="00000000">
        <w:rPr>
          <w:b w:val="1"/>
          <w:rtl w:val="0"/>
        </w:rPr>
        <w:t xml:space="preserve">IoT</w:t>
      </w:r>
      <w:r w:rsidDel="00000000" w:rsidR="00000000" w:rsidRPr="00000000">
        <w:rPr>
          <w:rtl w:val="0"/>
        </w:rPr>
        <w:t xml:space="preserve"> – Internet of Things</w:t>
      </w:r>
    </w:p>
    <w:p w:rsidR="00000000" w:rsidDel="00000000" w:rsidP="00000000" w:rsidRDefault="00000000" w:rsidRPr="00000000" w14:paraId="000000B7">
      <w:pPr>
        <w:spacing w:after="280" w:before="280" w:lineRule="auto"/>
        <w:rPr/>
      </w:pPr>
      <w:r w:rsidDel="00000000" w:rsidR="00000000" w:rsidRPr="00000000">
        <w:rPr>
          <w:b w:val="1"/>
          <w:rtl w:val="0"/>
        </w:rPr>
        <w:t xml:space="preserve">KPI</w:t>
      </w:r>
      <w:r w:rsidDel="00000000" w:rsidR="00000000" w:rsidRPr="00000000">
        <w:rPr>
          <w:rtl w:val="0"/>
        </w:rPr>
        <w:t xml:space="preserve"> – Key Performance Indicator</w:t>
      </w:r>
    </w:p>
    <w:p w:rsidR="00000000" w:rsidDel="00000000" w:rsidP="00000000" w:rsidRDefault="00000000" w:rsidRPr="00000000" w14:paraId="000000B8">
      <w:pPr>
        <w:spacing w:after="280" w:before="280" w:lineRule="auto"/>
        <w:rPr/>
      </w:pPr>
      <w:r w:rsidDel="00000000" w:rsidR="00000000" w:rsidRPr="00000000">
        <w:rPr>
          <w:b w:val="1"/>
          <w:rtl w:val="0"/>
        </w:rPr>
        <w:t xml:space="preserve">LTV</w:t>
      </w:r>
      <w:r w:rsidDel="00000000" w:rsidR="00000000" w:rsidRPr="00000000">
        <w:rPr>
          <w:rtl w:val="0"/>
        </w:rPr>
        <w:t xml:space="preserve"> – Lifetime Value</w:t>
      </w:r>
    </w:p>
    <w:p w:rsidR="00000000" w:rsidDel="00000000" w:rsidP="00000000" w:rsidRDefault="00000000" w:rsidRPr="00000000" w14:paraId="000000B9">
      <w:pPr>
        <w:spacing w:after="280" w:before="280" w:lineRule="auto"/>
        <w:rPr/>
      </w:pPr>
      <w:r w:rsidDel="00000000" w:rsidR="00000000" w:rsidRPr="00000000">
        <w:rPr>
          <w:b w:val="1"/>
          <w:rtl w:val="0"/>
        </w:rPr>
        <w:t xml:space="preserve">mHBOT</w:t>
      </w:r>
      <w:r w:rsidDel="00000000" w:rsidR="00000000" w:rsidRPr="00000000">
        <w:rPr>
          <w:rtl w:val="0"/>
        </w:rPr>
        <w:t xml:space="preserve"> – Mild Hyperbaric Oxygen Therapy</w:t>
      </w:r>
    </w:p>
    <w:p w:rsidR="00000000" w:rsidDel="00000000" w:rsidP="00000000" w:rsidRDefault="00000000" w:rsidRPr="00000000" w14:paraId="000000BA">
      <w:pPr>
        <w:spacing w:after="280" w:before="280" w:lineRule="auto"/>
        <w:rPr/>
      </w:pPr>
      <w:r w:rsidDel="00000000" w:rsidR="00000000" w:rsidRPr="00000000">
        <w:rPr>
          <w:b w:val="1"/>
          <w:rtl w:val="0"/>
        </w:rPr>
        <w:t xml:space="preserve">MDR</w:t>
      </w:r>
      <w:r w:rsidDel="00000000" w:rsidR="00000000" w:rsidRPr="00000000">
        <w:rPr>
          <w:rtl w:val="0"/>
        </w:rPr>
        <w:t xml:space="preserve"> – Medical Device Regulation (EU)</w:t>
      </w:r>
    </w:p>
    <w:p w:rsidR="00000000" w:rsidDel="00000000" w:rsidP="00000000" w:rsidRDefault="00000000" w:rsidRPr="00000000" w14:paraId="000000BB">
      <w:pPr>
        <w:spacing w:after="280" w:before="280" w:lineRule="auto"/>
        <w:rPr/>
      </w:pPr>
      <w:r w:rsidDel="00000000" w:rsidR="00000000" w:rsidRPr="00000000">
        <w:rPr>
          <w:b w:val="1"/>
          <w:rtl w:val="0"/>
        </w:rPr>
        <w:t xml:space="preserve">PBM</w:t>
      </w:r>
      <w:r w:rsidDel="00000000" w:rsidR="00000000" w:rsidRPr="00000000">
        <w:rPr>
          <w:rtl w:val="0"/>
        </w:rPr>
        <w:t xml:space="preserve"> – Photobiomodulation</w:t>
      </w:r>
    </w:p>
    <w:p w:rsidR="00000000" w:rsidDel="00000000" w:rsidP="00000000" w:rsidRDefault="00000000" w:rsidRPr="00000000" w14:paraId="000000BC">
      <w:pPr>
        <w:spacing w:after="280" w:before="280" w:lineRule="auto"/>
        <w:rPr/>
      </w:pPr>
      <w:r w:rsidDel="00000000" w:rsidR="00000000" w:rsidRPr="00000000">
        <w:rPr>
          <w:b w:val="1"/>
          <w:rtl w:val="0"/>
        </w:rPr>
        <w:t xml:space="preserve">REM</w:t>
      </w:r>
      <w:r w:rsidDel="00000000" w:rsidR="00000000" w:rsidRPr="00000000">
        <w:rPr>
          <w:rtl w:val="0"/>
        </w:rPr>
        <w:t xml:space="preserve"> – Rapid Eye Movement</w:t>
      </w:r>
    </w:p>
    <w:p w:rsidR="00000000" w:rsidDel="00000000" w:rsidP="00000000" w:rsidRDefault="00000000" w:rsidRPr="00000000" w14:paraId="000000BD">
      <w:pPr>
        <w:spacing w:after="280" w:before="280" w:lineRule="auto"/>
        <w:rPr/>
      </w:pPr>
      <w:r w:rsidDel="00000000" w:rsidR="00000000" w:rsidRPr="00000000">
        <w:rPr>
          <w:b w:val="1"/>
          <w:rtl w:val="0"/>
        </w:rPr>
        <w:t xml:space="preserve">ROI</w:t>
      </w:r>
      <w:r w:rsidDel="00000000" w:rsidR="00000000" w:rsidRPr="00000000">
        <w:rPr>
          <w:rtl w:val="0"/>
        </w:rPr>
        <w:t xml:space="preserve"> – Return on Investment</w:t>
      </w:r>
    </w:p>
    <w:p w:rsidR="00000000" w:rsidDel="00000000" w:rsidP="00000000" w:rsidRDefault="00000000" w:rsidRPr="00000000" w14:paraId="000000BE">
      <w:pPr>
        <w:spacing w:after="280" w:before="280" w:lineRule="auto"/>
        <w:rPr/>
      </w:pPr>
      <w:r w:rsidDel="00000000" w:rsidR="00000000" w:rsidRPr="00000000">
        <w:rPr>
          <w:b w:val="1"/>
          <w:rtl w:val="0"/>
        </w:rPr>
        <w:t xml:space="preserve">SEO</w:t>
      </w:r>
      <w:r w:rsidDel="00000000" w:rsidR="00000000" w:rsidRPr="00000000">
        <w:rPr>
          <w:rtl w:val="0"/>
        </w:rPr>
        <w:t xml:space="preserve"> – Search Engine Optimization</w:t>
      </w:r>
    </w:p>
    <w:p w:rsidR="00000000" w:rsidDel="00000000" w:rsidP="00000000" w:rsidRDefault="00000000" w:rsidRPr="00000000" w14:paraId="000000BF">
      <w:pPr>
        <w:spacing w:after="280" w:before="280" w:lineRule="auto"/>
        <w:rPr/>
      </w:pPr>
      <w:r w:rsidDel="00000000" w:rsidR="00000000" w:rsidRPr="00000000">
        <w:rPr>
          <w:b w:val="1"/>
          <w:rtl w:val="0"/>
        </w:rPr>
        <w:t xml:space="preserve">SL</w:t>
      </w:r>
      <w:r w:rsidDel="00000000" w:rsidR="00000000" w:rsidRPr="00000000">
        <w:rPr>
          <w:rtl w:val="0"/>
        </w:rPr>
        <w:t xml:space="preserve"> – Sleep Latency</w:t>
      </w:r>
    </w:p>
    <w:p w:rsidR="00000000" w:rsidDel="00000000" w:rsidP="00000000" w:rsidRDefault="00000000" w:rsidRPr="00000000" w14:paraId="000000C0">
      <w:pPr>
        <w:spacing w:after="280" w:before="280" w:lineRule="auto"/>
        <w:rPr/>
      </w:pPr>
      <w:r w:rsidDel="00000000" w:rsidR="00000000" w:rsidRPr="00000000">
        <w:rPr>
          <w:b w:val="1"/>
          <w:rtl w:val="0"/>
        </w:rPr>
        <w:t xml:space="preserve">SMB</w:t>
      </w:r>
      <w:r w:rsidDel="00000000" w:rsidR="00000000" w:rsidRPr="00000000">
        <w:rPr>
          <w:rtl w:val="0"/>
        </w:rPr>
        <w:t xml:space="preserve"> – Small and Medium-Sized Business</w:t>
      </w:r>
    </w:p>
    <w:p w:rsidR="00000000" w:rsidDel="00000000" w:rsidP="00000000" w:rsidRDefault="00000000" w:rsidRPr="00000000" w14:paraId="000000C1">
      <w:pPr>
        <w:spacing w:after="280" w:before="280" w:lineRule="auto"/>
        <w:rPr/>
      </w:pPr>
      <w:r w:rsidDel="00000000" w:rsidR="00000000" w:rsidRPr="00000000">
        <w:rPr>
          <w:b w:val="1"/>
          <w:rtl w:val="0"/>
        </w:rPr>
        <w:t xml:space="preserve">TAM</w:t>
      </w:r>
      <w:r w:rsidDel="00000000" w:rsidR="00000000" w:rsidRPr="00000000">
        <w:rPr>
          <w:rtl w:val="0"/>
        </w:rPr>
        <w:t xml:space="preserve"> – Technology Acceptance Model</w:t>
      </w:r>
    </w:p>
    <w:p w:rsidR="00000000" w:rsidDel="00000000" w:rsidP="00000000" w:rsidRDefault="00000000" w:rsidRPr="00000000" w14:paraId="000000C2">
      <w:pPr>
        <w:spacing w:after="280" w:before="280" w:lineRule="auto"/>
        <w:rPr/>
      </w:pPr>
      <w:r w:rsidDel="00000000" w:rsidR="00000000" w:rsidRPr="00000000">
        <w:rPr>
          <w:b w:val="1"/>
          <w:rtl w:val="0"/>
        </w:rPr>
        <w:t xml:space="preserve">TAM2</w:t>
      </w:r>
      <w:r w:rsidDel="00000000" w:rsidR="00000000" w:rsidRPr="00000000">
        <w:rPr>
          <w:rtl w:val="0"/>
        </w:rPr>
        <w:t xml:space="preserve"> – Technology Acceptance Model 2</w:t>
      </w:r>
    </w:p>
    <w:p w:rsidR="00000000" w:rsidDel="00000000" w:rsidP="00000000" w:rsidRDefault="00000000" w:rsidRPr="00000000" w14:paraId="000000C3">
      <w:pPr>
        <w:spacing w:after="280" w:before="280" w:lineRule="auto"/>
        <w:rPr/>
      </w:pPr>
      <w:r w:rsidDel="00000000" w:rsidR="00000000" w:rsidRPr="00000000">
        <w:rPr>
          <w:b w:val="1"/>
          <w:rtl w:val="0"/>
        </w:rPr>
        <w:t xml:space="preserve">TRA</w:t>
      </w:r>
      <w:r w:rsidDel="00000000" w:rsidR="00000000" w:rsidRPr="00000000">
        <w:rPr>
          <w:rtl w:val="0"/>
        </w:rPr>
        <w:t xml:space="preserve"> – Theory of Reasoned Action</w:t>
      </w:r>
    </w:p>
    <w:p w:rsidR="00000000" w:rsidDel="00000000" w:rsidP="00000000" w:rsidRDefault="00000000" w:rsidRPr="00000000" w14:paraId="000000C4">
      <w:pPr>
        <w:spacing w:after="280" w:before="280" w:lineRule="auto"/>
        <w:rPr/>
      </w:pPr>
      <w:r w:rsidDel="00000000" w:rsidR="00000000" w:rsidRPr="00000000">
        <w:rPr>
          <w:b w:val="1"/>
          <w:rtl w:val="0"/>
        </w:rPr>
        <w:t xml:space="preserve">TRUST</w:t>
      </w:r>
      <w:r w:rsidDel="00000000" w:rsidR="00000000" w:rsidRPr="00000000">
        <w:rPr>
          <w:rtl w:val="0"/>
        </w:rPr>
        <w:t xml:space="preserve"> – Trust in Health Technologies</w:t>
      </w:r>
    </w:p>
    <w:p w:rsidR="00000000" w:rsidDel="00000000" w:rsidP="00000000" w:rsidRDefault="00000000" w:rsidRPr="00000000" w14:paraId="000000C5">
      <w:pPr>
        <w:spacing w:after="280" w:before="280" w:lineRule="auto"/>
        <w:rPr/>
      </w:pPr>
      <w:r w:rsidDel="00000000" w:rsidR="00000000" w:rsidRPr="00000000">
        <w:rPr>
          <w:b w:val="1"/>
          <w:rtl w:val="0"/>
        </w:rPr>
        <w:t xml:space="preserve">UTAUT</w:t>
      </w:r>
      <w:r w:rsidDel="00000000" w:rsidR="00000000" w:rsidRPr="00000000">
        <w:rPr>
          <w:rtl w:val="0"/>
        </w:rPr>
        <w:t xml:space="preserve"> – Unified Theory of Acceptance and Use of Technology</w:t>
      </w:r>
    </w:p>
    <w:p w:rsidR="00000000" w:rsidDel="00000000" w:rsidP="00000000" w:rsidRDefault="00000000" w:rsidRPr="00000000" w14:paraId="000000C6">
      <w:pPr>
        <w:spacing w:after="280" w:before="280" w:lineRule="auto"/>
        <w:rPr/>
      </w:pPr>
      <w:r w:rsidDel="00000000" w:rsidR="00000000" w:rsidRPr="00000000">
        <w:rPr>
          <w:b w:val="1"/>
          <w:rtl w:val="0"/>
        </w:rPr>
        <w:t xml:space="preserve">USP</w:t>
      </w:r>
      <w:r w:rsidDel="00000000" w:rsidR="00000000" w:rsidRPr="00000000">
        <w:rPr>
          <w:rtl w:val="0"/>
        </w:rPr>
        <w:t xml:space="preserve"> – Unique Selling Proposition</w:t>
      </w:r>
    </w:p>
    <w:p w:rsidR="00000000" w:rsidDel="00000000" w:rsidP="00000000" w:rsidRDefault="00000000" w:rsidRPr="00000000" w14:paraId="000000C7">
      <w:pPr>
        <w:spacing w:after="280" w:before="280" w:lineRule="auto"/>
        <w:rPr/>
      </w:pPr>
      <w:r w:rsidDel="00000000" w:rsidR="00000000" w:rsidRPr="00000000">
        <w:rPr>
          <w:b w:val="1"/>
          <w:rtl w:val="0"/>
        </w:rPr>
        <w:t xml:space="preserve">UX</w:t>
      </w:r>
      <w:r w:rsidDel="00000000" w:rsidR="00000000" w:rsidRPr="00000000">
        <w:rPr>
          <w:rtl w:val="0"/>
        </w:rPr>
        <w:t xml:space="preserve"> – User Experience</w:t>
      </w:r>
    </w:p>
    <w:p w:rsidR="00000000" w:rsidDel="00000000" w:rsidP="00000000" w:rsidRDefault="00000000" w:rsidRPr="00000000" w14:paraId="000000C8">
      <w:pPr>
        <w:spacing w:after="280" w:before="280" w:lineRule="auto"/>
        <w:rPr/>
      </w:pPr>
      <w:r w:rsidDel="00000000" w:rsidR="00000000" w:rsidRPr="00000000">
        <w:rPr>
          <w:b w:val="1"/>
          <w:rtl w:val="0"/>
        </w:rPr>
        <w:t xml:space="preserve">VO₂ max</w:t>
      </w:r>
      <w:r w:rsidDel="00000000" w:rsidR="00000000" w:rsidRPr="00000000">
        <w:rPr>
          <w:rtl w:val="0"/>
        </w:rPr>
        <w:t xml:space="preserve"> – Maximal Oxygen Uptake</w:t>
      </w:r>
    </w:p>
    <w:p w:rsidR="00000000" w:rsidDel="00000000" w:rsidP="00000000" w:rsidRDefault="00000000" w:rsidRPr="00000000" w14:paraId="000000C9">
      <w:pPr>
        <w:spacing w:after="280" w:before="280" w:lineRule="auto"/>
        <w:rPr/>
      </w:pPr>
      <w:r w:rsidDel="00000000" w:rsidR="00000000" w:rsidRPr="00000000">
        <w:rPr>
          <w:b w:val="1"/>
          <w:rtl w:val="0"/>
        </w:rPr>
        <w:t xml:space="preserve">WBC</w:t>
      </w:r>
      <w:r w:rsidDel="00000000" w:rsidR="00000000" w:rsidRPr="00000000">
        <w:rPr>
          <w:rtl w:val="0"/>
        </w:rPr>
        <w:t xml:space="preserve"> – Whole-Body Cryotherapy</w:t>
      </w:r>
    </w:p>
    <w:p w:rsidR="00000000" w:rsidDel="00000000" w:rsidP="00000000" w:rsidRDefault="00000000" w:rsidRPr="00000000" w14:paraId="000000CA">
      <w:pPr>
        <w:spacing w:after="280" w:before="280" w:lineRule="auto"/>
        <w:rPr/>
      </w:pPr>
      <w:r w:rsidDel="00000000" w:rsidR="00000000" w:rsidRPr="00000000">
        <w:rPr>
          <w:b w:val="1"/>
          <w:rtl w:val="0"/>
        </w:rPr>
        <w:t xml:space="preserve">W-TLC+</w:t>
      </w:r>
      <w:r w:rsidDel="00000000" w:rsidR="00000000" w:rsidRPr="00000000">
        <w:rPr>
          <w:rtl w:val="0"/>
        </w:rPr>
        <w:t xml:space="preserve"> – Wellness Trust Lifecycle Plus</w:t>
      </w:r>
    </w:p>
    <w:p w:rsidR="00000000" w:rsidDel="00000000" w:rsidP="00000000" w:rsidRDefault="00000000" w:rsidRPr="00000000" w14:paraId="000000CB">
      <w:pPr>
        <w:spacing w:after="280" w:before="280" w:lineRule="auto"/>
        <w:rPr/>
      </w:pPr>
      <w:r w:rsidDel="00000000" w:rsidR="00000000" w:rsidRPr="00000000">
        <w:rPr>
          <w:rtl w:val="0"/>
        </w:rPr>
      </w:r>
    </w:p>
    <w:p w:rsidR="00000000" w:rsidDel="00000000" w:rsidP="00000000" w:rsidRDefault="00000000" w:rsidRPr="00000000" w14:paraId="000000CC">
      <w:pPr>
        <w:jc w:val="both"/>
        <w:rPr>
          <w:smallCaps w:val="1"/>
          <w:color w:val="0d0d0d"/>
          <w:highlight w:val="white"/>
        </w:rPr>
      </w:pPr>
      <w:r w:rsidDel="00000000" w:rsidR="00000000" w:rsidRPr="00000000">
        <w:rPr>
          <w:rtl w:val="0"/>
        </w:rPr>
      </w:r>
    </w:p>
    <w:p w:rsidR="00000000" w:rsidDel="00000000" w:rsidP="00000000" w:rsidRDefault="00000000" w:rsidRPr="00000000" w14:paraId="000000CD">
      <w:pPr>
        <w:jc w:val="both"/>
        <w:rPr>
          <w:smallCaps w:val="1"/>
          <w:color w:val="0d0d0d"/>
          <w:highlight w:val="white"/>
        </w:rPr>
      </w:pPr>
      <w:r w:rsidDel="00000000" w:rsidR="00000000" w:rsidRPr="00000000">
        <w:rPr>
          <w:rtl w:val="0"/>
        </w:rPr>
      </w:r>
    </w:p>
    <w:p w:rsidR="00000000" w:rsidDel="00000000" w:rsidP="00000000" w:rsidRDefault="00000000" w:rsidRPr="00000000" w14:paraId="000000CE">
      <w:pPr>
        <w:jc w:val="both"/>
        <w:rPr>
          <w:smallCaps w:val="1"/>
          <w:color w:val="0d0d0d"/>
          <w:highlight w:val="white"/>
        </w:rPr>
      </w:pPr>
      <w:r w:rsidDel="00000000" w:rsidR="00000000" w:rsidRPr="00000000">
        <w:rPr>
          <w:rtl w:val="0"/>
        </w:rPr>
      </w:r>
    </w:p>
    <w:p w:rsidR="00000000" w:rsidDel="00000000" w:rsidP="00000000" w:rsidRDefault="00000000" w:rsidRPr="00000000" w14:paraId="000000CF">
      <w:pPr>
        <w:jc w:val="both"/>
        <w:rPr>
          <w:smallCaps w:val="1"/>
          <w:color w:val="0d0d0d"/>
          <w:highlight w:val="white"/>
        </w:rPr>
      </w:pPr>
      <w:r w:rsidDel="00000000" w:rsidR="00000000" w:rsidRPr="00000000">
        <w:rPr>
          <w:rtl w:val="0"/>
        </w:rPr>
      </w:r>
    </w:p>
    <w:p w:rsidR="00000000" w:rsidDel="00000000" w:rsidP="00000000" w:rsidRDefault="00000000" w:rsidRPr="00000000" w14:paraId="000000D0">
      <w:pPr>
        <w:jc w:val="both"/>
        <w:rPr>
          <w:smallCaps w:val="1"/>
          <w:color w:val="0d0d0d"/>
          <w:highlight w:val="white"/>
        </w:rPr>
      </w:pPr>
      <w:r w:rsidDel="00000000" w:rsidR="00000000" w:rsidRPr="00000000">
        <w:rPr>
          <w:rtl w:val="0"/>
        </w:rPr>
      </w:r>
    </w:p>
    <w:p w:rsidR="00000000" w:rsidDel="00000000" w:rsidP="00000000" w:rsidRDefault="00000000" w:rsidRPr="00000000" w14:paraId="000000D1">
      <w:pPr>
        <w:jc w:val="both"/>
        <w:rPr>
          <w:smallCaps w:val="1"/>
          <w:color w:val="0d0d0d"/>
          <w:highlight w:val="white"/>
        </w:rPr>
      </w:pPr>
      <w:r w:rsidDel="00000000" w:rsidR="00000000" w:rsidRPr="00000000">
        <w:rPr>
          <w:rtl w:val="0"/>
        </w:rPr>
      </w:r>
    </w:p>
    <w:p w:rsidR="00000000" w:rsidDel="00000000" w:rsidP="00000000" w:rsidRDefault="00000000" w:rsidRPr="00000000" w14:paraId="000000D2">
      <w:pPr>
        <w:jc w:val="both"/>
        <w:rPr>
          <w:smallCaps w:val="1"/>
          <w:color w:val="0d0d0d"/>
          <w:highlight w:val="white"/>
        </w:rPr>
      </w:pPr>
      <w:r w:rsidDel="00000000" w:rsidR="00000000" w:rsidRPr="00000000">
        <w:rPr>
          <w:rtl w:val="0"/>
        </w:rPr>
      </w:r>
    </w:p>
    <w:p w:rsidR="00000000" w:rsidDel="00000000" w:rsidP="00000000" w:rsidRDefault="00000000" w:rsidRPr="00000000" w14:paraId="000000D3">
      <w:pPr>
        <w:jc w:val="both"/>
        <w:rPr>
          <w:smallCaps w:val="1"/>
          <w:color w:val="0d0d0d"/>
          <w:highlight w:val="white"/>
        </w:rPr>
      </w:pPr>
      <w:r w:rsidDel="00000000" w:rsidR="00000000" w:rsidRPr="00000000">
        <w:rPr>
          <w:rtl w:val="0"/>
        </w:rPr>
      </w:r>
    </w:p>
    <w:p w:rsidR="00000000" w:rsidDel="00000000" w:rsidP="00000000" w:rsidRDefault="00000000" w:rsidRPr="00000000" w14:paraId="000000D4">
      <w:pPr>
        <w:jc w:val="both"/>
        <w:rPr>
          <w:smallCaps w:val="1"/>
          <w:color w:val="0d0d0d"/>
          <w:highlight w:val="white"/>
        </w:rPr>
      </w:pPr>
      <w:r w:rsidDel="00000000" w:rsidR="00000000" w:rsidRPr="00000000">
        <w:rPr>
          <w:rtl w:val="0"/>
        </w:rPr>
      </w:r>
    </w:p>
    <w:p w:rsidR="00000000" w:rsidDel="00000000" w:rsidP="00000000" w:rsidRDefault="00000000" w:rsidRPr="00000000" w14:paraId="000000D5">
      <w:pPr>
        <w:jc w:val="both"/>
        <w:rPr>
          <w:smallCaps w:val="1"/>
          <w:color w:val="0d0d0d"/>
          <w:highlight w:val="white"/>
        </w:rPr>
      </w:pPr>
      <w:r w:rsidDel="00000000" w:rsidR="00000000" w:rsidRPr="00000000">
        <w:rPr>
          <w:rtl w:val="0"/>
        </w:rPr>
      </w:r>
    </w:p>
    <w:p w:rsidR="00000000" w:rsidDel="00000000" w:rsidP="00000000" w:rsidRDefault="00000000" w:rsidRPr="00000000" w14:paraId="000000D6">
      <w:pPr>
        <w:jc w:val="both"/>
        <w:rPr>
          <w:smallCaps w:val="1"/>
          <w:color w:val="0d0d0d"/>
          <w:highlight w:val="white"/>
        </w:rPr>
      </w:pPr>
      <w:r w:rsidDel="00000000" w:rsidR="00000000" w:rsidRPr="00000000">
        <w:rPr>
          <w:rtl w:val="0"/>
        </w:rPr>
      </w:r>
    </w:p>
    <w:p w:rsidR="00000000" w:rsidDel="00000000" w:rsidP="00000000" w:rsidRDefault="00000000" w:rsidRPr="00000000" w14:paraId="000000D7">
      <w:pPr>
        <w:jc w:val="both"/>
        <w:rPr>
          <w:smallCaps w:val="1"/>
          <w:color w:val="0d0d0d"/>
          <w:highlight w:val="white"/>
        </w:rPr>
      </w:pPr>
      <w:r w:rsidDel="00000000" w:rsidR="00000000" w:rsidRPr="00000000">
        <w:rPr>
          <w:rtl w:val="0"/>
        </w:rPr>
      </w:r>
    </w:p>
    <w:p w:rsidR="00000000" w:rsidDel="00000000" w:rsidP="00000000" w:rsidRDefault="00000000" w:rsidRPr="00000000" w14:paraId="000000D8">
      <w:pPr>
        <w:jc w:val="both"/>
        <w:rPr>
          <w:smallCaps w:val="1"/>
          <w:color w:val="0d0d0d"/>
          <w:highlight w:val="white"/>
        </w:rPr>
      </w:pPr>
      <w:r w:rsidDel="00000000" w:rsidR="00000000" w:rsidRPr="00000000">
        <w:rPr>
          <w:rtl w:val="0"/>
        </w:rPr>
      </w:r>
    </w:p>
    <w:p w:rsidR="00000000" w:rsidDel="00000000" w:rsidP="00000000" w:rsidRDefault="00000000" w:rsidRPr="00000000" w14:paraId="000000D9">
      <w:pPr>
        <w:jc w:val="both"/>
        <w:rPr>
          <w:smallCaps w:val="1"/>
          <w:color w:val="0d0d0d"/>
          <w:highlight w:val="white"/>
        </w:rPr>
      </w:pPr>
      <w:r w:rsidDel="00000000" w:rsidR="00000000" w:rsidRPr="00000000">
        <w:rPr>
          <w:rtl w:val="0"/>
        </w:rPr>
      </w:r>
    </w:p>
    <w:p w:rsidR="00000000" w:rsidDel="00000000" w:rsidP="00000000" w:rsidRDefault="00000000" w:rsidRPr="00000000" w14:paraId="000000DA">
      <w:pPr>
        <w:jc w:val="both"/>
        <w:rPr>
          <w:smallCaps w:val="1"/>
          <w:color w:val="0d0d0d"/>
          <w:highlight w:val="white"/>
        </w:rPr>
      </w:pPr>
      <w:r w:rsidDel="00000000" w:rsidR="00000000" w:rsidRPr="00000000">
        <w:rPr>
          <w:rtl w:val="0"/>
        </w:rPr>
      </w:r>
    </w:p>
    <w:p w:rsidR="00000000" w:rsidDel="00000000" w:rsidP="00000000" w:rsidRDefault="00000000" w:rsidRPr="00000000" w14:paraId="000000DB">
      <w:pPr>
        <w:jc w:val="center"/>
        <w:rPr>
          <w:smallCaps w:val="1"/>
          <w:color w:val="0d0d0d"/>
          <w:highlight w:val="white"/>
        </w:rPr>
      </w:pPr>
      <w:r w:rsidDel="00000000" w:rsidR="00000000" w:rsidRPr="00000000">
        <w:rPr>
          <w:smallCaps w:val="1"/>
          <w:color w:val="0d0d0d"/>
          <w:highlight w:val="white"/>
          <w:rtl w:val="0"/>
        </w:rPr>
        <w:t xml:space="preserve">TABLE OF CONTENTS</w:t>
      </w:r>
    </w:p>
    <w:p w:rsidR="00000000" w:rsidDel="00000000" w:rsidP="00000000" w:rsidRDefault="00000000" w:rsidRPr="00000000" w14:paraId="000000DC">
      <w:pPr>
        <w:jc w:val="both"/>
        <w:rPr>
          <w:smallCaps w:val="1"/>
          <w:color w:val="0d0d0d"/>
          <w:highlight w:val="white"/>
        </w:rPr>
      </w:pPr>
      <w:r w:rsidDel="00000000" w:rsidR="00000000" w:rsidRPr="00000000">
        <w:rPr>
          <w:rtl w:val="0"/>
        </w:rPr>
      </w:r>
    </w:p>
    <w:p w:rsidR="00000000" w:rsidDel="00000000" w:rsidP="00000000" w:rsidRDefault="00000000" w:rsidRPr="00000000" w14:paraId="000000DD">
      <w:pPr>
        <w:jc w:val="both"/>
        <w:rPr>
          <w:smallCaps w:val="1"/>
          <w:color w:val="0d0d0d"/>
          <w:highlight w:val="white"/>
        </w:rPr>
      </w:pPr>
      <w:r w:rsidDel="00000000" w:rsidR="00000000" w:rsidRPr="00000000">
        <w:rPr>
          <w:rtl w:val="0"/>
        </w:rPr>
      </w:r>
    </w:p>
    <w:p w:rsidR="00000000" w:rsidDel="00000000" w:rsidP="00000000" w:rsidRDefault="00000000" w:rsidRPr="00000000" w14:paraId="000000DE">
      <w:pPr>
        <w:jc w:val="both"/>
        <w:rPr>
          <w:smallCaps w:val="1"/>
          <w:color w:val="0d0d0d"/>
          <w:highlight w:val="white"/>
        </w:rPr>
      </w:pPr>
      <w:r w:rsidDel="00000000" w:rsidR="00000000" w:rsidRPr="00000000">
        <w:rPr>
          <w:rtl w:val="0"/>
        </w:rPr>
      </w:r>
    </w:p>
    <w:p w:rsidR="00000000" w:rsidDel="00000000" w:rsidP="00000000" w:rsidRDefault="00000000" w:rsidRPr="00000000" w14:paraId="000000DF">
      <w:pPr>
        <w:jc w:val="both"/>
        <w:rPr>
          <w:smallCaps w:val="1"/>
          <w:color w:val="0d0d0d"/>
          <w:highlight w:val="white"/>
        </w:rPr>
      </w:pPr>
      <w:r w:rsidDel="00000000" w:rsidR="00000000" w:rsidRPr="00000000">
        <w:rPr>
          <w:smallCaps w:val="1"/>
          <w:color w:val="0d0d0d"/>
          <w:highlight w:val="white"/>
          <w:rtl w:val="0"/>
        </w:rPr>
        <w:t xml:space="preserve">Title Page ............................................................................................. i</w:t>
      </w:r>
    </w:p>
    <w:p w:rsidR="00000000" w:rsidDel="00000000" w:rsidP="00000000" w:rsidRDefault="00000000" w:rsidRPr="00000000" w14:paraId="000000E0">
      <w:pPr>
        <w:jc w:val="both"/>
        <w:rPr>
          <w:smallCaps w:val="1"/>
          <w:color w:val="0d0d0d"/>
          <w:highlight w:val="white"/>
        </w:rPr>
      </w:pPr>
      <w:r w:rsidDel="00000000" w:rsidR="00000000" w:rsidRPr="00000000">
        <w:rPr>
          <w:smallCaps w:val="1"/>
          <w:color w:val="0d0d0d"/>
          <w:highlight w:val="white"/>
          <w:rtl w:val="0"/>
        </w:rPr>
        <w:t xml:space="preserve">Approval Page ..................................................................................... ii</w:t>
      </w:r>
    </w:p>
    <w:p w:rsidR="00000000" w:rsidDel="00000000" w:rsidP="00000000" w:rsidRDefault="00000000" w:rsidRPr="00000000" w14:paraId="000000E1">
      <w:pPr>
        <w:jc w:val="both"/>
        <w:rPr>
          <w:smallCaps w:val="1"/>
          <w:color w:val="0d0d0d"/>
          <w:highlight w:val="white"/>
        </w:rPr>
      </w:pPr>
      <w:r w:rsidDel="00000000" w:rsidR="00000000" w:rsidRPr="00000000">
        <w:rPr>
          <w:smallCaps w:val="1"/>
          <w:color w:val="0d0d0d"/>
          <w:highlight w:val="white"/>
          <w:rtl w:val="0"/>
        </w:rPr>
        <w:t xml:space="preserve">Dedications ......................................................................................... iii</w:t>
      </w:r>
    </w:p>
    <w:p w:rsidR="00000000" w:rsidDel="00000000" w:rsidP="00000000" w:rsidRDefault="00000000" w:rsidRPr="00000000" w14:paraId="000000E2">
      <w:pPr>
        <w:jc w:val="both"/>
        <w:rPr>
          <w:smallCaps w:val="1"/>
          <w:color w:val="0d0d0d"/>
          <w:highlight w:val="white"/>
        </w:rPr>
      </w:pPr>
      <w:r w:rsidDel="00000000" w:rsidR="00000000" w:rsidRPr="00000000">
        <w:rPr>
          <w:smallCaps w:val="1"/>
          <w:color w:val="0d0d0d"/>
          <w:highlight w:val="white"/>
          <w:rtl w:val="0"/>
        </w:rPr>
        <w:t xml:space="preserve">Acknowledgments .............................................................................. iv</w:t>
      </w:r>
    </w:p>
    <w:p w:rsidR="00000000" w:rsidDel="00000000" w:rsidP="00000000" w:rsidRDefault="00000000" w:rsidRPr="00000000" w14:paraId="000000E3">
      <w:pPr>
        <w:jc w:val="both"/>
        <w:rPr>
          <w:smallCaps w:val="1"/>
          <w:color w:val="0d0d0d"/>
          <w:highlight w:val="white"/>
        </w:rPr>
      </w:pPr>
      <w:r w:rsidDel="00000000" w:rsidR="00000000" w:rsidRPr="00000000">
        <w:rPr>
          <w:smallCaps w:val="1"/>
          <w:color w:val="0d0d0d"/>
          <w:highlight w:val="white"/>
          <w:rtl w:val="0"/>
        </w:rPr>
        <w:t xml:space="preserve">Abstract .............................................................................................. .v</w:t>
      </w:r>
    </w:p>
    <w:p w:rsidR="00000000" w:rsidDel="00000000" w:rsidP="00000000" w:rsidRDefault="00000000" w:rsidRPr="00000000" w14:paraId="000000E4">
      <w:pPr>
        <w:jc w:val="both"/>
        <w:rPr>
          <w:smallCaps w:val="1"/>
          <w:color w:val="0d0d0d"/>
          <w:highlight w:val="white"/>
        </w:rPr>
      </w:pPr>
      <w:r w:rsidDel="00000000" w:rsidR="00000000" w:rsidRPr="00000000">
        <w:rPr>
          <w:smallCaps w:val="1"/>
          <w:color w:val="0d0d0d"/>
          <w:highlight w:val="white"/>
          <w:rtl w:val="0"/>
        </w:rPr>
        <w:t xml:space="preserve">Table of Contents ............................................................................... vi</w:t>
      </w:r>
    </w:p>
    <w:p w:rsidR="00000000" w:rsidDel="00000000" w:rsidP="00000000" w:rsidRDefault="00000000" w:rsidRPr="00000000" w14:paraId="000000E5">
      <w:pPr>
        <w:jc w:val="both"/>
        <w:rPr>
          <w:smallCaps w:val="1"/>
          <w:color w:val="0d0d0d"/>
          <w:highlight w:val="white"/>
        </w:rPr>
      </w:pPr>
      <w:r w:rsidDel="00000000" w:rsidR="00000000" w:rsidRPr="00000000">
        <w:rPr>
          <w:smallCaps w:val="1"/>
          <w:color w:val="0d0d0d"/>
          <w:highlight w:val="white"/>
          <w:rtl w:val="0"/>
        </w:rPr>
        <w:t xml:space="preserve">List of Tables ...................................................................................... vii</w:t>
      </w:r>
    </w:p>
    <w:p w:rsidR="00000000" w:rsidDel="00000000" w:rsidP="00000000" w:rsidRDefault="00000000" w:rsidRPr="00000000" w14:paraId="000000E6">
      <w:pPr>
        <w:jc w:val="both"/>
        <w:rPr>
          <w:smallCaps w:val="1"/>
          <w:color w:val="0d0d0d"/>
          <w:highlight w:val="white"/>
        </w:rPr>
      </w:pPr>
      <w:r w:rsidDel="00000000" w:rsidR="00000000" w:rsidRPr="00000000">
        <w:rPr>
          <w:smallCaps w:val="1"/>
          <w:color w:val="0d0d0d"/>
          <w:highlight w:val="white"/>
          <w:rtl w:val="0"/>
        </w:rPr>
        <w:t xml:space="preserve">List of Figures ..................................................................................... viii</w:t>
      </w:r>
    </w:p>
    <w:p w:rsidR="00000000" w:rsidDel="00000000" w:rsidP="00000000" w:rsidRDefault="00000000" w:rsidRPr="00000000" w14:paraId="000000E7">
      <w:pPr>
        <w:jc w:val="both"/>
        <w:rPr>
          <w:smallCaps w:val="1"/>
          <w:color w:val="0d0d0d"/>
          <w:highlight w:val="white"/>
        </w:rPr>
      </w:pPr>
      <w:r w:rsidDel="00000000" w:rsidR="00000000" w:rsidRPr="00000000">
        <w:rPr>
          <w:smallCaps w:val="1"/>
          <w:color w:val="0d0d0d"/>
          <w:highlight w:val="white"/>
          <w:rtl w:val="0"/>
        </w:rPr>
        <w:t xml:space="preserve">Abbreviations .......................................................................................ix</w:t>
      </w:r>
    </w:p>
    <w:p w:rsidR="00000000" w:rsidDel="00000000" w:rsidP="00000000" w:rsidRDefault="00000000" w:rsidRPr="00000000" w14:paraId="000000E8">
      <w:pPr>
        <w:jc w:val="both"/>
        <w:rPr>
          <w:smallCaps w:val="1"/>
          <w:color w:val="0d0d0d"/>
          <w:highlight w:val="white"/>
        </w:rPr>
      </w:pPr>
      <w:r w:rsidDel="00000000" w:rsidR="00000000" w:rsidRPr="00000000">
        <w:rPr>
          <w:rtl w:val="0"/>
        </w:rPr>
      </w:r>
    </w:p>
    <w:p w:rsidR="00000000" w:rsidDel="00000000" w:rsidP="00000000" w:rsidRDefault="00000000" w:rsidRPr="00000000" w14:paraId="000000E9">
      <w:pPr>
        <w:jc w:val="both"/>
        <w:rPr>
          <w:smallCaps w:val="1"/>
          <w:color w:val="0d0d0d"/>
          <w:highlight w:val="white"/>
        </w:rPr>
      </w:pPr>
      <w:r w:rsidDel="00000000" w:rsidR="00000000" w:rsidRPr="00000000">
        <w:rPr>
          <w:smallCaps w:val="1"/>
          <w:color w:val="0d0d0d"/>
          <w:highlight w:val="white"/>
          <w:rtl w:val="0"/>
        </w:rPr>
        <w:t xml:space="preserve">Chapter I: Introduction ........................................................................01</w:t>
      </w:r>
    </w:p>
    <w:p w:rsidR="00000000" w:rsidDel="00000000" w:rsidP="00000000" w:rsidRDefault="00000000" w:rsidRPr="00000000" w14:paraId="000000EA">
      <w:pPr>
        <w:jc w:val="both"/>
        <w:rPr>
          <w:smallCaps w:val="1"/>
          <w:color w:val="0d0d0d"/>
          <w:highlight w:val="white"/>
        </w:rPr>
      </w:pPr>
      <w:r w:rsidDel="00000000" w:rsidR="00000000" w:rsidRPr="00000000">
        <w:rPr>
          <w:smallCaps w:val="1"/>
          <w:color w:val="0d0d0d"/>
          <w:highlight w:val="white"/>
          <w:rtl w:val="0"/>
        </w:rPr>
        <w:t xml:space="preserve">Background of the Study</w:t>
      </w:r>
    </w:p>
    <w:p w:rsidR="00000000" w:rsidDel="00000000" w:rsidP="00000000" w:rsidRDefault="00000000" w:rsidRPr="00000000" w14:paraId="000000EB">
      <w:pPr>
        <w:jc w:val="both"/>
        <w:rPr>
          <w:smallCaps w:val="1"/>
          <w:color w:val="0d0d0d"/>
          <w:highlight w:val="white"/>
        </w:rPr>
      </w:pPr>
      <w:r w:rsidDel="00000000" w:rsidR="00000000" w:rsidRPr="00000000">
        <w:rPr>
          <w:smallCaps w:val="1"/>
          <w:color w:val="0d0d0d"/>
          <w:highlight w:val="white"/>
          <w:rtl w:val="0"/>
        </w:rPr>
        <w:t xml:space="preserve">Statement of the Problem</w:t>
      </w:r>
    </w:p>
    <w:p w:rsidR="00000000" w:rsidDel="00000000" w:rsidP="00000000" w:rsidRDefault="00000000" w:rsidRPr="00000000" w14:paraId="000000EC">
      <w:pPr>
        <w:jc w:val="both"/>
        <w:rPr>
          <w:smallCaps w:val="1"/>
          <w:color w:val="0d0d0d"/>
          <w:highlight w:val="white"/>
        </w:rPr>
      </w:pPr>
      <w:r w:rsidDel="00000000" w:rsidR="00000000" w:rsidRPr="00000000">
        <w:rPr>
          <w:smallCaps w:val="1"/>
          <w:color w:val="0d0d0d"/>
          <w:highlight w:val="white"/>
          <w:rtl w:val="0"/>
        </w:rPr>
        <w:t xml:space="preserve">Objectives of the Study</w:t>
      </w:r>
    </w:p>
    <w:p w:rsidR="00000000" w:rsidDel="00000000" w:rsidP="00000000" w:rsidRDefault="00000000" w:rsidRPr="00000000" w14:paraId="000000ED">
      <w:pPr>
        <w:jc w:val="both"/>
        <w:rPr>
          <w:smallCaps w:val="1"/>
          <w:color w:val="0d0d0d"/>
          <w:highlight w:val="white"/>
        </w:rPr>
      </w:pPr>
      <w:r w:rsidDel="00000000" w:rsidR="00000000" w:rsidRPr="00000000">
        <w:rPr>
          <w:smallCaps w:val="1"/>
          <w:color w:val="0d0d0d"/>
          <w:highlight w:val="white"/>
          <w:rtl w:val="0"/>
        </w:rPr>
        <w:t xml:space="preserve">Research Questions</w:t>
      </w:r>
    </w:p>
    <w:p w:rsidR="00000000" w:rsidDel="00000000" w:rsidP="00000000" w:rsidRDefault="00000000" w:rsidRPr="00000000" w14:paraId="000000EE">
      <w:pPr>
        <w:jc w:val="both"/>
        <w:rPr>
          <w:smallCaps w:val="1"/>
          <w:color w:val="0d0d0d"/>
          <w:highlight w:val="white"/>
        </w:rPr>
      </w:pPr>
      <w:r w:rsidDel="00000000" w:rsidR="00000000" w:rsidRPr="00000000">
        <w:rPr>
          <w:smallCaps w:val="1"/>
          <w:color w:val="0d0d0d"/>
          <w:highlight w:val="white"/>
          <w:rtl w:val="0"/>
        </w:rPr>
        <w:t xml:space="preserve">Significance of the Study</w:t>
      </w:r>
    </w:p>
    <w:p w:rsidR="00000000" w:rsidDel="00000000" w:rsidP="00000000" w:rsidRDefault="00000000" w:rsidRPr="00000000" w14:paraId="000000EF">
      <w:pPr>
        <w:jc w:val="both"/>
        <w:rPr>
          <w:smallCaps w:val="1"/>
          <w:color w:val="0d0d0d"/>
          <w:highlight w:val="white"/>
        </w:rPr>
      </w:pPr>
      <w:r w:rsidDel="00000000" w:rsidR="00000000" w:rsidRPr="00000000">
        <w:rPr>
          <w:smallCaps w:val="1"/>
          <w:color w:val="0d0d0d"/>
          <w:highlight w:val="white"/>
          <w:rtl w:val="0"/>
        </w:rPr>
        <w:t xml:space="preserve">Scope and Delimitations</w:t>
      </w:r>
    </w:p>
    <w:p w:rsidR="00000000" w:rsidDel="00000000" w:rsidP="00000000" w:rsidRDefault="00000000" w:rsidRPr="00000000" w14:paraId="000000F0">
      <w:pPr>
        <w:jc w:val="both"/>
        <w:rPr>
          <w:smallCaps w:val="1"/>
          <w:color w:val="0d0d0d"/>
          <w:highlight w:val="white"/>
        </w:rPr>
      </w:pPr>
      <w:r w:rsidDel="00000000" w:rsidR="00000000" w:rsidRPr="00000000">
        <w:rPr>
          <w:smallCaps w:val="1"/>
          <w:color w:val="0d0d0d"/>
          <w:highlight w:val="white"/>
          <w:rtl w:val="0"/>
        </w:rPr>
        <w:t xml:space="preserve">Chapter II: Literature Review .............................................................. 20</w:t>
      </w:r>
    </w:p>
    <w:p w:rsidR="00000000" w:rsidDel="00000000" w:rsidP="00000000" w:rsidRDefault="00000000" w:rsidRPr="00000000" w14:paraId="000000F1">
      <w:pPr>
        <w:jc w:val="both"/>
        <w:rPr>
          <w:smallCaps w:val="1"/>
          <w:color w:val="0d0d0d"/>
          <w:highlight w:val="white"/>
        </w:rPr>
      </w:pPr>
      <w:r w:rsidDel="00000000" w:rsidR="00000000" w:rsidRPr="00000000">
        <w:rPr>
          <w:smallCaps w:val="1"/>
          <w:color w:val="0d0d0d"/>
          <w:highlight w:val="white"/>
          <w:rtl w:val="0"/>
        </w:rPr>
        <w:t xml:space="preserve">Review of Related Literature</w:t>
      </w:r>
    </w:p>
    <w:p w:rsidR="00000000" w:rsidDel="00000000" w:rsidP="00000000" w:rsidRDefault="00000000" w:rsidRPr="00000000" w14:paraId="000000F2">
      <w:pPr>
        <w:jc w:val="both"/>
        <w:rPr>
          <w:smallCaps w:val="1"/>
          <w:color w:val="0d0d0d"/>
          <w:highlight w:val="white"/>
        </w:rPr>
      </w:pPr>
      <w:r w:rsidDel="00000000" w:rsidR="00000000" w:rsidRPr="00000000">
        <w:rPr>
          <w:smallCaps w:val="1"/>
          <w:color w:val="0d0d0d"/>
          <w:highlight w:val="white"/>
          <w:rtl w:val="0"/>
        </w:rPr>
        <w:t xml:space="preserve">Theoretical Framework</w:t>
      </w:r>
    </w:p>
    <w:p w:rsidR="00000000" w:rsidDel="00000000" w:rsidP="00000000" w:rsidRDefault="00000000" w:rsidRPr="00000000" w14:paraId="000000F3">
      <w:pPr>
        <w:jc w:val="both"/>
        <w:rPr>
          <w:smallCaps w:val="1"/>
          <w:color w:val="0d0d0d"/>
          <w:highlight w:val="white"/>
        </w:rPr>
      </w:pPr>
      <w:r w:rsidDel="00000000" w:rsidR="00000000" w:rsidRPr="00000000">
        <w:rPr>
          <w:smallCaps w:val="1"/>
          <w:color w:val="0d0d0d"/>
          <w:highlight w:val="white"/>
          <w:rtl w:val="0"/>
        </w:rPr>
        <w:t xml:space="preserve">Synthesis</w:t>
      </w:r>
    </w:p>
    <w:p w:rsidR="00000000" w:rsidDel="00000000" w:rsidP="00000000" w:rsidRDefault="00000000" w:rsidRPr="00000000" w14:paraId="000000F4">
      <w:pPr>
        <w:jc w:val="both"/>
        <w:rPr>
          <w:smallCaps w:val="1"/>
          <w:color w:val="0d0d0d"/>
          <w:highlight w:val="white"/>
        </w:rPr>
      </w:pPr>
      <w:r w:rsidDel="00000000" w:rsidR="00000000" w:rsidRPr="00000000">
        <w:rPr>
          <w:smallCaps w:val="1"/>
          <w:color w:val="0d0d0d"/>
          <w:highlight w:val="white"/>
          <w:rtl w:val="0"/>
        </w:rPr>
        <w:t xml:space="preserve">Chapter III: Methodology .....................................................................40</w:t>
      </w:r>
    </w:p>
    <w:p w:rsidR="00000000" w:rsidDel="00000000" w:rsidP="00000000" w:rsidRDefault="00000000" w:rsidRPr="00000000" w14:paraId="000000F5">
      <w:pPr>
        <w:jc w:val="both"/>
        <w:rPr>
          <w:smallCaps w:val="1"/>
          <w:color w:val="0d0d0d"/>
          <w:highlight w:val="white"/>
        </w:rPr>
      </w:pPr>
      <w:r w:rsidDel="00000000" w:rsidR="00000000" w:rsidRPr="00000000">
        <w:rPr>
          <w:smallCaps w:val="1"/>
          <w:color w:val="0d0d0d"/>
          <w:highlight w:val="white"/>
          <w:rtl w:val="0"/>
        </w:rPr>
        <w:t xml:space="preserve">Research Design</w:t>
      </w:r>
    </w:p>
    <w:p w:rsidR="00000000" w:rsidDel="00000000" w:rsidP="00000000" w:rsidRDefault="00000000" w:rsidRPr="00000000" w14:paraId="000000F6">
      <w:pPr>
        <w:jc w:val="both"/>
        <w:rPr>
          <w:smallCaps w:val="1"/>
          <w:color w:val="0d0d0d"/>
          <w:highlight w:val="white"/>
        </w:rPr>
      </w:pPr>
      <w:r w:rsidDel="00000000" w:rsidR="00000000" w:rsidRPr="00000000">
        <w:rPr>
          <w:smallCaps w:val="1"/>
          <w:color w:val="0d0d0d"/>
          <w:highlight w:val="white"/>
          <w:rtl w:val="0"/>
        </w:rPr>
        <w:t xml:space="preserve">Population and Sampling</w:t>
      </w:r>
    </w:p>
    <w:p w:rsidR="00000000" w:rsidDel="00000000" w:rsidP="00000000" w:rsidRDefault="00000000" w:rsidRPr="00000000" w14:paraId="000000F7">
      <w:pPr>
        <w:jc w:val="both"/>
        <w:rPr>
          <w:smallCaps w:val="1"/>
          <w:color w:val="0d0d0d"/>
          <w:highlight w:val="white"/>
        </w:rPr>
      </w:pPr>
      <w:r w:rsidDel="00000000" w:rsidR="00000000" w:rsidRPr="00000000">
        <w:rPr>
          <w:smallCaps w:val="1"/>
          <w:color w:val="0d0d0d"/>
          <w:highlight w:val="white"/>
          <w:rtl w:val="0"/>
        </w:rPr>
        <w:t xml:space="preserve">Data Collection Methods</w:t>
      </w:r>
    </w:p>
    <w:p w:rsidR="00000000" w:rsidDel="00000000" w:rsidP="00000000" w:rsidRDefault="00000000" w:rsidRPr="00000000" w14:paraId="000000F8">
      <w:pPr>
        <w:jc w:val="both"/>
        <w:rPr>
          <w:smallCaps w:val="1"/>
          <w:color w:val="0d0d0d"/>
          <w:highlight w:val="white"/>
        </w:rPr>
      </w:pPr>
      <w:r w:rsidDel="00000000" w:rsidR="00000000" w:rsidRPr="00000000">
        <w:rPr>
          <w:smallCaps w:val="1"/>
          <w:color w:val="0d0d0d"/>
          <w:highlight w:val="white"/>
          <w:rtl w:val="0"/>
        </w:rPr>
        <w:t xml:space="preserve">Data Analysis Procedures</w:t>
      </w:r>
    </w:p>
    <w:p w:rsidR="00000000" w:rsidDel="00000000" w:rsidP="00000000" w:rsidRDefault="00000000" w:rsidRPr="00000000" w14:paraId="000000F9">
      <w:pPr>
        <w:jc w:val="both"/>
        <w:rPr>
          <w:smallCaps w:val="1"/>
          <w:color w:val="0d0d0d"/>
          <w:highlight w:val="white"/>
        </w:rPr>
      </w:pPr>
      <w:r w:rsidDel="00000000" w:rsidR="00000000" w:rsidRPr="00000000">
        <w:rPr>
          <w:smallCaps w:val="1"/>
          <w:color w:val="0d0d0d"/>
          <w:highlight w:val="white"/>
          <w:rtl w:val="0"/>
        </w:rPr>
        <w:t xml:space="preserve">Ethical Considerations</w:t>
      </w:r>
    </w:p>
    <w:p w:rsidR="00000000" w:rsidDel="00000000" w:rsidP="00000000" w:rsidRDefault="00000000" w:rsidRPr="00000000" w14:paraId="000000FA">
      <w:pPr>
        <w:jc w:val="both"/>
        <w:rPr>
          <w:smallCaps w:val="1"/>
          <w:color w:val="0d0d0d"/>
          <w:highlight w:val="white"/>
        </w:rPr>
      </w:pPr>
      <w:r w:rsidDel="00000000" w:rsidR="00000000" w:rsidRPr="00000000">
        <w:rPr>
          <w:smallCaps w:val="1"/>
          <w:color w:val="0d0d0d"/>
          <w:highlight w:val="white"/>
          <w:rtl w:val="0"/>
        </w:rPr>
        <w:t xml:space="preserve">Chapter IV: Results ...............................................................................60</w:t>
      </w:r>
    </w:p>
    <w:p w:rsidR="00000000" w:rsidDel="00000000" w:rsidP="00000000" w:rsidRDefault="00000000" w:rsidRPr="00000000" w14:paraId="000000FB">
      <w:pPr>
        <w:jc w:val="both"/>
        <w:rPr>
          <w:smallCaps w:val="1"/>
          <w:color w:val="0d0d0d"/>
          <w:highlight w:val="white"/>
        </w:rPr>
      </w:pPr>
      <w:r w:rsidDel="00000000" w:rsidR="00000000" w:rsidRPr="00000000">
        <w:rPr>
          <w:smallCaps w:val="1"/>
          <w:color w:val="0d0d0d"/>
          <w:highlight w:val="white"/>
          <w:rtl w:val="0"/>
        </w:rPr>
        <w:t xml:space="preserve">Presentation of Data</w:t>
      </w:r>
    </w:p>
    <w:p w:rsidR="00000000" w:rsidDel="00000000" w:rsidP="00000000" w:rsidRDefault="00000000" w:rsidRPr="00000000" w14:paraId="000000FC">
      <w:pPr>
        <w:jc w:val="both"/>
        <w:rPr>
          <w:smallCaps w:val="1"/>
          <w:color w:val="0d0d0d"/>
          <w:highlight w:val="white"/>
        </w:rPr>
      </w:pPr>
      <w:r w:rsidDel="00000000" w:rsidR="00000000" w:rsidRPr="00000000">
        <w:rPr>
          <w:smallCaps w:val="1"/>
          <w:color w:val="0d0d0d"/>
          <w:highlight w:val="white"/>
          <w:rtl w:val="0"/>
        </w:rPr>
        <w:t xml:space="preserve">Analysis and Interpretation of Data</w:t>
      </w:r>
    </w:p>
    <w:p w:rsidR="00000000" w:rsidDel="00000000" w:rsidP="00000000" w:rsidRDefault="00000000" w:rsidRPr="00000000" w14:paraId="000000FD">
      <w:pPr>
        <w:jc w:val="both"/>
        <w:rPr>
          <w:smallCaps w:val="1"/>
          <w:color w:val="0d0d0d"/>
          <w:highlight w:val="white"/>
        </w:rPr>
      </w:pPr>
      <w:r w:rsidDel="00000000" w:rsidR="00000000" w:rsidRPr="00000000">
        <w:rPr>
          <w:smallCaps w:val="1"/>
          <w:color w:val="0d0d0d"/>
          <w:highlight w:val="white"/>
          <w:rtl w:val="0"/>
        </w:rPr>
        <w:t xml:space="preserve">Chapter V: Discussion ............................................................................80</w:t>
      </w:r>
    </w:p>
    <w:p w:rsidR="00000000" w:rsidDel="00000000" w:rsidP="00000000" w:rsidRDefault="00000000" w:rsidRPr="00000000" w14:paraId="000000FE">
      <w:pPr>
        <w:jc w:val="both"/>
        <w:rPr>
          <w:smallCaps w:val="1"/>
          <w:color w:val="0d0d0d"/>
          <w:highlight w:val="white"/>
        </w:rPr>
      </w:pPr>
      <w:r w:rsidDel="00000000" w:rsidR="00000000" w:rsidRPr="00000000">
        <w:rPr>
          <w:smallCaps w:val="1"/>
          <w:color w:val="0d0d0d"/>
          <w:highlight w:val="white"/>
          <w:rtl w:val="0"/>
        </w:rPr>
        <w:t xml:space="preserve">Interpretation of Findings</w:t>
      </w:r>
    </w:p>
    <w:p w:rsidR="00000000" w:rsidDel="00000000" w:rsidP="00000000" w:rsidRDefault="00000000" w:rsidRPr="00000000" w14:paraId="000000FF">
      <w:pPr>
        <w:jc w:val="both"/>
        <w:rPr>
          <w:smallCaps w:val="1"/>
          <w:color w:val="0d0d0d"/>
          <w:highlight w:val="white"/>
        </w:rPr>
      </w:pPr>
      <w:r w:rsidDel="00000000" w:rsidR="00000000" w:rsidRPr="00000000">
        <w:rPr>
          <w:smallCaps w:val="1"/>
          <w:color w:val="0d0d0d"/>
          <w:highlight w:val="white"/>
          <w:rtl w:val="0"/>
        </w:rPr>
        <w:t xml:space="preserve">Comparison with Existing Literature</w:t>
      </w:r>
    </w:p>
    <w:p w:rsidR="00000000" w:rsidDel="00000000" w:rsidP="00000000" w:rsidRDefault="00000000" w:rsidRPr="00000000" w14:paraId="00000100">
      <w:pPr>
        <w:jc w:val="both"/>
        <w:rPr>
          <w:smallCaps w:val="1"/>
          <w:color w:val="0d0d0d"/>
          <w:highlight w:val="white"/>
        </w:rPr>
      </w:pPr>
      <w:r w:rsidDel="00000000" w:rsidR="00000000" w:rsidRPr="00000000">
        <w:rPr>
          <w:smallCaps w:val="1"/>
          <w:color w:val="0d0d0d"/>
          <w:highlight w:val="white"/>
          <w:rtl w:val="0"/>
        </w:rPr>
        <w:t xml:space="preserve">Implications for Practice</w:t>
      </w:r>
    </w:p>
    <w:p w:rsidR="00000000" w:rsidDel="00000000" w:rsidP="00000000" w:rsidRDefault="00000000" w:rsidRPr="00000000" w14:paraId="00000101">
      <w:pPr>
        <w:jc w:val="both"/>
        <w:rPr>
          <w:smallCaps w:val="1"/>
          <w:color w:val="0d0d0d"/>
          <w:highlight w:val="white"/>
        </w:rPr>
      </w:pPr>
      <w:r w:rsidDel="00000000" w:rsidR="00000000" w:rsidRPr="00000000">
        <w:rPr>
          <w:smallCaps w:val="1"/>
          <w:color w:val="0d0d0d"/>
          <w:highlight w:val="white"/>
          <w:rtl w:val="0"/>
        </w:rPr>
        <w:t xml:space="preserve">Chapter VI: Conclusions and Recommendations .................................100</w:t>
      </w:r>
    </w:p>
    <w:p w:rsidR="00000000" w:rsidDel="00000000" w:rsidP="00000000" w:rsidRDefault="00000000" w:rsidRPr="00000000" w14:paraId="00000102">
      <w:pPr>
        <w:jc w:val="both"/>
        <w:rPr>
          <w:smallCaps w:val="1"/>
          <w:color w:val="0d0d0d"/>
          <w:highlight w:val="white"/>
        </w:rPr>
      </w:pPr>
      <w:r w:rsidDel="00000000" w:rsidR="00000000" w:rsidRPr="00000000">
        <w:rPr>
          <w:smallCaps w:val="1"/>
          <w:color w:val="0d0d0d"/>
          <w:highlight w:val="white"/>
          <w:rtl w:val="0"/>
        </w:rPr>
        <w:t xml:space="preserve">Summary of Findings</w:t>
      </w:r>
    </w:p>
    <w:p w:rsidR="00000000" w:rsidDel="00000000" w:rsidP="00000000" w:rsidRDefault="00000000" w:rsidRPr="00000000" w14:paraId="00000103">
      <w:pPr>
        <w:jc w:val="both"/>
        <w:rPr>
          <w:smallCaps w:val="1"/>
          <w:color w:val="0d0d0d"/>
          <w:highlight w:val="white"/>
        </w:rPr>
      </w:pPr>
      <w:r w:rsidDel="00000000" w:rsidR="00000000" w:rsidRPr="00000000">
        <w:rPr>
          <w:smallCaps w:val="1"/>
          <w:color w:val="0d0d0d"/>
          <w:highlight w:val="white"/>
          <w:rtl w:val="0"/>
        </w:rPr>
        <w:t xml:space="preserve">Conclusions</w:t>
      </w:r>
    </w:p>
    <w:p w:rsidR="00000000" w:rsidDel="00000000" w:rsidP="00000000" w:rsidRDefault="00000000" w:rsidRPr="00000000" w14:paraId="00000104">
      <w:pPr>
        <w:jc w:val="both"/>
        <w:rPr>
          <w:smallCaps w:val="1"/>
          <w:color w:val="0d0d0d"/>
          <w:highlight w:val="white"/>
        </w:rPr>
      </w:pPr>
      <w:r w:rsidDel="00000000" w:rsidR="00000000" w:rsidRPr="00000000">
        <w:rPr>
          <w:smallCaps w:val="1"/>
          <w:color w:val="0d0d0d"/>
          <w:highlight w:val="white"/>
          <w:rtl w:val="0"/>
        </w:rPr>
        <w:t xml:space="preserve">Recommendations for Future Research</w:t>
      </w:r>
    </w:p>
    <w:p w:rsidR="00000000" w:rsidDel="00000000" w:rsidP="00000000" w:rsidRDefault="00000000" w:rsidRPr="00000000" w14:paraId="00000105">
      <w:pPr>
        <w:jc w:val="both"/>
        <w:rPr>
          <w:smallCaps w:val="1"/>
          <w:color w:val="0d0d0d"/>
          <w:highlight w:val="white"/>
        </w:rPr>
      </w:pPr>
      <w:r w:rsidDel="00000000" w:rsidR="00000000" w:rsidRPr="00000000">
        <w:rPr>
          <w:smallCaps w:val="1"/>
          <w:color w:val="0d0d0d"/>
          <w:highlight w:val="white"/>
          <w:rtl w:val="0"/>
        </w:rPr>
        <w:t xml:space="preserve">References .............................................................................................. 120</w:t>
      </w:r>
    </w:p>
    <w:p w:rsidR="00000000" w:rsidDel="00000000" w:rsidP="00000000" w:rsidRDefault="00000000" w:rsidRPr="00000000" w14:paraId="00000106">
      <w:pPr>
        <w:jc w:val="both"/>
        <w:rPr>
          <w:smallCaps w:val="1"/>
          <w:color w:val="0d0d0d"/>
          <w:highlight w:val="white"/>
        </w:rPr>
      </w:pPr>
      <w:r w:rsidDel="00000000" w:rsidR="00000000" w:rsidRPr="00000000">
        <w:rPr>
          <w:smallCaps w:val="1"/>
          <w:color w:val="0d0d0d"/>
          <w:highlight w:val="white"/>
          <w:rtl w:val="0"/>
        </w:rPr>
        <w:t xml:space="preserve">Appendices ..............................................................................................130</w:t>
      </w:r>
    </w:p>
    <w:p w:rsidR="00000000" w:rsidDel="00000000" w:rsidP="00000000" w:rsidRDefault="00000000" w:rsidRPr="00000000" w14:paraId="00000107">
      <w:pPr>
        <w:jc w:val="both"/>
        <w:rPr>
          <w:smallCaps w:val="1"/>
          <w:color w:val="0d0d0d"/>
          <w:highlight w:val="white"/>
        </w:rPr>
      </w:pPr>
      <w:r w:rsidDel="00000000" w:rsidR="00000000" w:rsidRPr="00000000">
        <w:rPr>
          <w:smallCaps w:val="1"/>
          <w:color w:val="0d0d0d"/>
          <w:highlight w:val="white"/>
          <w:rtl w:val="0"/>
        </w:rPr>
        <w:t xml:space="preserve">A. Survey Instruments</w:t>
      </w:r>
    </w:p>
    <w:p w:rsidR="00000000" w:rsidDel="00000000" w:rsidP="00000000" w:rsidRDefault="00000000" w:rsidRPr="00000000" w14:paraId="00000108">
      <w:pPr>
        <w:jc w:val="both"/>
        <w:rPr>
          <w:smallCaps w:val="1"/>
          <w:color w:val="0d0d0d"/>
          <w:highlight w:val="white"/>
        </w:rPr>
      </w:pPr>
      <w:r w:rsidDel="00000000" w:rsidR="00000000" w:rsidRPr="00000000">
        <w:rPr>
          <w:smallCaps w:val="1"/>
          <w:color w:val="0d0d0d"/>
          <w:highlight w:val="white"/>
          <w:rtl w:val="0"/>
        </w:rPr>
        <w:t xml:space="preserve">B. Informed Consent Forms</w:t>
      </w:r>
    </w:p>
    <w:p w:rsidR="00000000" w:rsidDel="00000000" w:rsidP="00000000" w:rsidRDefault="00000000" w:rsidRPr="00000000" w14:paraId="00000109">
      <w:pPr>
        <w:jc w:val="both"/>
        <w:rPr>
          <w:smallCaps w:val="1"/>
          <w:color w:val="0d0d0d"/>
          <w:highlight w:val="white"/>
        </w:rPr>
      </w:pPr>
      <w:r w:rsidDel="00000000" w:rsidR="00000000" w:rsidRPr="00000000">
        <w:rPr>
          <w:smallCaps w:val="1"/>
          <w:color w:val="0d0d0d"/>
          <w:highlight w:val="white"/>
          <w:rtl w:val="0"/>
        </w:rPr>
        <w:t xml:space="preserve">C. Additional Data</w:t>
      </w:r>
    </w:p>
    <w:p w:rsidR="00000000" w:rsidDel="00000000" w:rsidP="00000000" w:rsidRDefault="00000000" w:rsidRPr="00000000" w14:paraId="0000010A">
      <w:pPr>
        <w:jc w:val="both"/>
        <w:rPr>
          <w:smallCaps w:val="1"/>
          <w:color w:val="0d0d0d"/>
          <w:highlight w:val="white"/>
        </w:rPr>
      </w:pPr>
      <w:r w:rsidDel="00000000" w:rsidR="00000000" w:rsidRPr="00000000">
        <w:rPr>
          <w:smallCaps w:val="1"/>
          <w:color w:val="0d0d0d"/>
          <w:highlight w:val="white"/>
          <w:rtl w:val="0"/>
        </w:rPr>
        <w:t xml:space="preserve">Glossary ...................................................................................................................140</w:t>
      </w:r>
    </w:p>
    <w:p w:rsidR="00000000" w:rsidDel="00000000" w:rsidP="00000000" w:rsidRDefault="00000000" w:rsidRPr="00000000" w14:paraId="0000010B">
      <w:pPr>
        <w:jc w:val="both"/>
        <w:rPr>
          <w:smallCaps w:val="1"/>
          <w:color w:val="0d0d0d"/>
          <w:highlight w:val="white"/>
        </w:rPr>
      </w:pPr>
      <w:r w:rsidDel="00000000" w:rsidR="00000000" w:rsidRPr="00000000">
        <w:rPr>
          <w:rtl w:val="0"/>
        </w:rPr>
      </w:r>
    </w:p>
    <w:p w:rsidR="00000000" w:rsidDel="00000000" w:rsidP="00000000" w:rsidRDefault="00000000" w:rsidRPr="00000000" w14:paraId="0000010C">
      <w:pPr>
        <w:jc w:val="both"/>
        <w:rPr>
          <w:smallCaps w:val="1"/>
          <w:color w:val="0d0d0d"/>
          <w:highlight w:val="white"/>
        </w:rPr>
      </w:pPr>
      <w:r w:rsidDel="00000000" w:rsidR="00000000" w:rsidRPr="00000000">
        <w:rPr>
          <w:rtl w:val="0"/>
        </w:rPr>
      </w:r>
    </w:p>
    <w:p w:rsidR="00000000" w:rsidDel="00000000" w:rsidP="00000000" w:rsidRDefault="00000000" w:rsidRPr="00000000" w14:paraId="0000010D">
      <w:pPr>
        <w:jc w:val="both"/>
        <w:rPr>
          <w:smallCaps w:val="1"/>
          <w:color w:val="0d0d0d"/>
          <w:highlight w:val="white"/>
        </w:rPr>
      </w:pPr>
      <w:r w:rsidDel="00000000" w:rsidR="00000000" w:rsidRPr="00000000">
        <w:rPr>
          <w:rtl w:val="0"/>
        </w:rPr>
      </w:r>
    </w:p>
    <w:p w:rsidR="00000000" w:rsidDel="00000000" w:rsidP="00000000" w:rsidRDefault="00000000" w:rsidRPr="00000000" w14:paraId="0000010E">
      <w:pPr>
        <w:jc w:val="both"/>
        <w:rPr>
          <w:smallCaps w:val="1"/>
          <w:color w:val="0d0d0d"/>
          <w:highlight w:val="white"/>
        </w:rPr>
      </w:pPr>
      <w:r w:rsidDel="00000000" w:rsidR="00000000" w:rsidRPr="00000000">
        <w:rPr>
          <w:rtl w:val="0"/>
        </w:rPr>
      </w:r>
    </w:p>
    <w:p w:rsidR="00000000" w:rsidDel="00000000" w:rsidP="00000000" w:rsidRDefault="00000000" w:rsidRPr="00000000" w14:paraId="0000010F">
      <w:pPr>
        <w:jc w:val="both"/>
        <w:rPr>
          <w:smallCaps w:val="1"/>
          <w:color w:val="0d0d0d"/>
          <w:highlight w:val="white"/>
        </w:rPr>
      </w:pPr>
      <w:r w:rsidDel="00000000" w:rsidR="00000000" w:rsidRPr="00000000">
        <w:rPr>
          <w:rtl w:val="0"/>
        </w:rPr>
      </w:r>
    </w:p>
    <w:p w:rsidR="00000000" w:rsidDel="00000000" w:rsidP="00000000" w:rsidRDefault="00000000" w:rsidRPr="00000000" w14:paraId="00000110">
      <w:pPr>
        <w:jc w:val="both"/>
        <w:rPr>
          <w:smallCaps w:val="1"/>
          <w:color w:val="0d0d0d"/>
          <w:highlight w:val="white"/>
        </w:rPr>
      </w:pPr>
      <w:r w:rsidDel="00000000" w:rsidR="00000000" w:rsidRPr="00000000">
        <w:rPr>
          <w:rtl w:val="0"/>
        </w:rPr>
      </w:r>
    </w:p>
    <w:p w:rsidR="00000000" w:rsidDel="00000000" w:rsidP="00000000" w:rsidRDefault="00000000" w:rsidRPr="00000000" w14:paraId="00000111">
      <w:pPr>
        <w:jc w:val="both"/>
        <w:rPr>
          <w:smallCaps w:val="1"/>
          <w:color w:val="0d0d0d"/>
          <w:highlight w:val="white"/>
        </w:rPr>
      </w:pPr>
      <w:r w:rsidDel="00000000" w:rsidR="00000000" w:rsidRPr="00000000">
        <w:rPr>
          <w:rtl w:val="0"/>
        </w:rPr>
      </w:r>
    </w:p>
    <w:p w:rsidR="00000000" w:rsidDel="00000000" w:rsidP="00000000" w:rsidRDefault="00000000" w:rsidRPr="00000000" w14:paraId="00000112">
      <w:pPr>
        <w:jc w:val="both"/>
        <w:rPr>
          <w:smallCaps w:val="1"/>
          <w:color w:val="0d0d0d"/>
          <w:highlight w:val="white"/>
        </w:rPr>
      </w:pPr>
      <w:r w:rsidDel="00000000" w:rsidR="00000000" w:rsidRPr="00000000">
        <w:rPr>
          <w:rtl w:val="0"/>
        </w:rPr>
      </w:r>
    </w:p>
    <w:p w:rsidR="00000000" w:rsidDel="00000000" w:rsidP="00000000" w:rsidRDefault="00000000" w:rsidRPr="00000000" w14:paraId="00000113">
      <w:pPr>
        <w:jc w:val="both"/>
        <w:rPr>
          <w:smallCaps w:val="1"/>
          <w:color w:val="0d0d0d"/>
          <w:highlight w:val="white"/>
        </w:rPr>
      </w:pPr>
      <w:r w:rsidDel="00000000" w:rsidR="00000000" w:rsidRPr="00000000">
        <w:rPr>
          <w:rtl w:val="0"/>
        </w:rPr>
      </w:r>
    </w:p>
    <w:p w:rsidR="00000000" w:rsidDel="00000000" w:rsidP="00000000" w:rsidRDefault="00000000" w:rsidRPr="00000000" w14:paraId="00000114">
      <w:pPr>
        <w:jc w:val="both"/>
        <w:rPr>
          <w:smallCaps w:val="1"/>
          <w:color w:val="0d0d0d"/>
          <w:highlight w:val="white"/>
        </w:rPr>
      </w:pPr>
      <w:r w:rsidDel="00000000" w:rsidR="00000000" w:rsidRPr="00000000">
        <w:rPr>
          <w:rtl w:val="0"/>
        </w:rPr>
      </w:r>
    </w:p>
    <w:p w:rsidR="00000000" w:rsidDel="00000000" w:rsidP="00000000" w:rsidRDefault="00000000" w:rsidRPr="00000000" w14:paraId="00000115">
      <w:pPr>
        <w:jc w:val="both"/>
        <w:rPr>
          <w:smallCaps w:val="1"/>
          <w:color w:val="0d0d0d"/>
          <w:highlight w:val="white"/>
        </w:rPr>
      </w:pPr>
      <w:r w:rsidDel="00000000" w:rsidR="00000000" w:rsidRPr="00000000">
        <w:rPr>
          <w:rtl w:val="0"/>
        </w:rPr>
      </w:r>
    </w:p>
    <w:p w:rsidR="00000000" w:rsidDel="00000000" w:rsidP="00000000" w:rsidRDefault="00000000" w:rsidRPr="00000000" w14:paraId="00000116">
      <w:pPr>
        <w:jc w:val="both"/>
        <w:rPr>
          <w:smallCaps w:val="1"/>
          <w:color w:val="0d0d0d"/>
          <w:highlight w:val="white"/>
        </w:rPr>
      </w:pPr>
      <w:r w:rsidDel="00000000" w:rsidR="00000000" w:rsidRPr="00000000">
        <w:rPr>
          <w:rtl w:val="0"/>
        </w:rPr>
      </w:r>
    </w:p>
    <w:p w:rsidR="00000000" w:rsidDel="00000000" w:rsidP="00000000" w:rsidRDefault="00000000" w:rsidRPr="00000000" w14:paraId="00000117">
      <w:pPr>
        <w:jc w:val="both"/>
        <w:rPr>
          <w:smallCaps w:val="1"/>
          <w:color w:val="0d0d0d"/>
          <w:highlight w:val="white"/>
        </w:rPr>
      </w:pPr>
      <w:r w:rsidDel="00000000" w:rsidR="00000000" w:rsidRPr="00000000">
        <w:rPr>
          <w:rtl w:val="0"/>
        </w:rPr>
      </w:r>
    </w:p>
    <w:p w:rsidR="00000000" w:rsidDel="00000000" w:rsidP="00000000" w:rsidRDefault="00000000" w:rsidRPr="00000000" w14:paraId="00000118">
      <w:pPr>
        <w:jc w:val="both"/>
        <w:rPr>
          <w:smallCaps w:val="1"/>
          <w:color w:val="0d0d0d"/>
          <w:highlight w:val="white"/>
        </w:rPr>
      </w:pPr>
      <w:r w:rsidDel="00000000" w:rsidR="00000000" w:rsidRPr="00000000">
        <w:rPr>
          <w:rtl w:val="0"/>
        </w:rPr>
      </w:r>
    </w:p>
    <w:p w:rsidR="00000000" w:rsidDel="00000000" w:rsidP="00000000" w:rsidRDefault="00000000" w:rsidRPr="00000000" w14:paraId="00000119">
      <w:pPr>
        <w:jc w:val="both"/>
        <w:rPr>
          <w:smallCaps w:val="1"/>
          <w:color w:val="0d0d0d"/>
          <w:highlight w:val="white"/>
        </w:rPr>
      </w:pPr>
      <w:r w:rsidDel="00000000" w:rsidR="00000000" w:rsidRPr="00000000">
        <w:rPr>
          <w:rtl w:val="0"/>
        </w:rPr>
      </w:r>
    </w:p>
    <w:p w:rsidR="00000000" w:rsidDel="00000000" w:rsidP="00000000" w:rsidRDefault="00000000" w:rsidRPr="00000000" w14:paraId="0000011A">
      <w:pPr>
        <w:jc w:val="both"/>
        <w:rPr>
          <w:smallCaps w:val="1"/>
          <w:color w:val="0d0d0d"/>
          <w:highlight w:val="white"/>
        </w:rPr>
      </w:pPr>
      <w:r w:rsidDel="00000000" w:rsidR="00000000" w:rsidRPr="00000000">
        <w:rPr>
          <w:rtl w:val="0"/>
        </w:rPr>
      </w:r>
    </w:p>
    <w:p w:rsidR="00000000" w:rsidDel="00000000" w:rsidP="00000000" w:rsidRDefault="00000000" w:rsidRPr="00000000" w14:paraId="0000011B">
      <w:pPr>
        <w:jc w:val="both"/>
        <w:rPr>
          <w:smallCaps w:val="1"/>
          <w:color w:val="0d0d0d"/>
          <w:highlight w:val="white"/>
        </w:rPr>
      </w:pPr>
      <w:r w:rsidDel="00000000" w:rsidR="00000000" w:rsidRPr="00000000">
        <w:rPr>
          <w:rtl w:val="0"/>
        </w:rPr>
      </w:r>
    </w:p>
    <w:p w:rsidR="00000000" w:rsidDel="00000000" w:rsidP="00000000" w:rsidRDefault="00000000" w:rsidRPr="00000000" w14:paraId="0000011C">
      <w:pPr>
        <w:jc w:val="both"/>
        <w:rPr>
          <w:smallCaps w:val="1"/>
          <w:color w:val="0d0d0d"/>
          <w:highlight w:val="white"/>
        </w:rPr>
      </w:pPr>
      <w:r w:rsidDel="00000000" w:rsidR="00000000" w:rsidRPr="00000000">
        <w:rPr>
          <w:rtl w:val="0"/>
        </w:rPr>
      </w:r>
    </w:p>
    <w:p w:rsidR="00000000" w:rsidDel="00000000" w:rsidP="00000000" w:rsidRDefault="00000000" w:rsidRPr="00000000" w14:paraId="0000011D">
      <w:pPr>
        <w:jc w:val="both"/>
        <w:rPr>
          <w:smallCaps w:val="1"/>
          <w:color w:val="0d0d0d"/>
          <w:highlight w:val="white"/>
        </w:rPr>
      </w:pPr>
      <w:r w:rsidDel="00000000" w:rsidR="00000000" w:rsidRPr="00000000">
        <w:rPr>
          <w:rtl w:val="0"/>
        </w:rPr>
      </w:r>
    </w:p>
    <w:p w:rsidR="00000000" w:rsidDel="00000000" w:rsidP="00000000" w:rsidRDefault="00000000" w:rsidRPr="00000000" w14:paraId="0000011E">
      <w:pPr>
        <w:jc w:val="both"/>
        <w:rPr>
          <w:smallCaps w:val="1"/>
          <w:color w:val="0d0d0d"/>
          <w:highlight w:val="white"/>
        </w:rPr>
      </w:pPr>
      <w:r w:rsidDel="00000000" w:rsidR="00000000" w:rsidRPr="00000000">
        <w:rPr>
          <w:rtl w:val="0"/>
        </w:rPr>
      </w:r>
    </w:p>
    <w:p w:rsidR="00000000" w:rsidDel="00000000" w:rsidP="00000000" w:rsidRDefault="00000000" w:rsidRPr="00000000" w14:paraId="0000011F">
      <w:pPr>
        <w:jc w:val="both"/>
        <w:rPr>
          <w:smallCaps w:val="1"/>
          <w:color w:val="0d0d0d"/>
          <w:highlight w:val="white"/>
        </w:rPr>
      </w:pPr>
      <w:r w:rsidDel="00000000" w:rsidR="00000000" w:rsidRPr="00000000">
        <w:rPr>
          <w:rtl w:val="0"/>
        </w:rPr>
      </w:r>
    </w:p>
    <w:p w:rsidR="00000000" w:rsidDel="00000000" w:rsidP="00000000" w:rsidRDefault="00000000" w:rsidRPr="00000000" w14:paraId="00000120">
      <w:pPr>
        <w:jc w:val="both"/>
        <w:rPr>
          <w:smallCaps w:val="1"/>
          <w:color w:val="0d0d0d"/>
          <w:highlight w:val="white"/>
        </w:rPr>
      </w:pPr>
      <w:r w:rsidDel="00000000" w:rsidR="00000000" w:rsidRPr="00000000">
        <w:rPr>
          <w:rtl w:val="0"/>
        </w:rPr>
      </w:r>
    </w:p>
    <w:p w:rsidR="00000000" w:rsidDel="00000000" w:rsidP="00000000" w:rsidRDefault="00000000" w:rsidRPr="00000000" w14:paraId="00000121">
      <w:pPr>
        <w:jc w:val="both"/>
        <w:rPr>
          <w:smallCaps w:val="1"/>
          <w:color w:val="0d0d0d"/>
          <w:highlight w:val="white"/>
        </w:rPr>
      </w:pPr>
      <w:r w:rsidDel="00000000" w:rsidR="00000000" w:rsidRPr="00000000">
        <w:rPr>
          <w:rtl w:val="0"/>
        </w:rPr>
      </w:r>
    </w:p>
    <w:p w:rsidR="00000000" w:rsidDel="00000000" w:rsidP="00000000" w:rsidRDefault="00000000" w:rsidRPr="00000000" w14:paraId="00000122">
      <w:pPr>
        <w:jc w:val="both"/>
        <w:rPr>
          <w:smallCaps w:val="1"/>
          <w:color w:val="0d0d0d"/>
          <w:highlight w:val="white"/>
        </w:rPr>
      </w:pPr>
      <w:r w:rsidDel="00000000" w:rsidR="00000000" w:rsidRPr="00000000">
        <w:rPr>
          <w:rtl w:val="0"/>
        </w:rPr>
      </w:r>
    </w:p>
    <w:p w:rsidR="00000000" w:rsidDel="00000000" w:rsidP="00000000" w:rsidRDefault="00000000" w:rsidRPr="00000000" w14:paraId="00000123">
      <w:pPr>
        <w:jc w:val="both"/>
        <w:rPr>
          <w:smallCaps w:val="1"/>
          <w:color w:val="0d0d0d"/>
          <w:highlight w:val="white"/>
        </w:rPr>
      </w:pPr>
      <w:r w:rsidDel="00000000" w:rsidR="00000000" w:rsidRPr="00000000">
        <w:rPr>
          <w:rtl w:val="0"/>
        </w:rPr>
      </w:r>
    </w:p>
    <w:p w:rsidR="00000000" w:rsidDel="00000000" w:rsidP="00000000" w:rsidRDefault="00000000" w:rsidRPr="00000000" w14:paraId="00000124">
      <w:pPr>
        <w:jc w:val="both"/>
        <w:rPr>
          <w:smallCaps w:val="1"/>
          <w:color w:val="0d0d0d"/>
          <w:highlight w:val="white"/>
        </w:rPr>
      </w:pPr>
      <w:r w:rsidDel="00000000" w:rsidR="00000000" w:rsidRPr="00000000">
        <w:rPr>
          <w:rtl w:val="0"/>
        </w:rPr>
      </w:r>
    </w:p>
    <w:p w:rsidR="00000000" w:rsidDel="00000000" w:rsidP="00000000" w:rsidRDefault="00000000" w:rsidRPr="00000000" w14:paraId="00000125">
      <w:pPr>
        <w:jc w:val="both"/>
        <w:rPr>
          <w:smallCaps w:val="1"/>
          <w:color w:val="0d0d0d"/>
          <w:highlight w:val="white"/>
        </w:rPr>
      </w:pPr>
      <w:r w:rsidDel="00000000" w:rsidR="00000000" w:rsidRPr="00000000">
        <w:rPr>
          <w:rtl w:val="0"/>
        </w:rPr>
      </w:r>
    </w:p>
    <w:p w:rsidR="00000000" w:rsidDel="00000000" w:rsidP="00000000" w:rsidRDefault="00000000" w:rsidRPr="00000000" w14:paraId="00000126">
      <w:pPr>
        <w:jc w:val="both"/>
        <w:rPr>
          <w:smallCaps w:val="1"/>
          <w:color w:val="0d0d0d"/>
          <w:highlight w:val="white"/>
        </w:rPr>
      </w:pPr>
      <w:r w:rsidDel="00000000" w:rsidR="00000000" w:rsidRPr="00000000">
        <w:rPr>
          <w:rtl w:val="0"/>
        </w:rPr>
      </w:r>
    </w:p>
    <w:p w:rsidR="00000000" w:rsidDel="00000000" w:rsidP="00000000" w:rsidRDefault="00000000" w:rsidRPr="00000000" w14:paraId="00000127">
      <w:pPr>
        <w:jc w:val="both"/>
        <w:rPr>
          <w:smallCaps w:val="1"/>
          <w:color w:val="0d0d0d"/>
          <w:highlight w:val="white"/>
        </w:rPr>
      </w:pPr>
      <w:r w:rsidDel="00000000" w:rsidR="00000000" w:rsidRPr="00000000">
        <w:rPr>
          <w:rtl w:val="0"/>
        </w:rPr>
      </w:r>
    </w:p>
    <w:p w:rsidR="00000000" w:rsidDel="00000000" w:rsidP="00000000" w:rsidRDefault="00000000" w:rsidRPr="00000000" w14:paraId="00000128">
      <w:pPr>
        <w:jc w:val="both"/>
        <w:rPr>
          <w:smallCaps w:val="1"/>
          <w:color w:val="0d0d0d"/>
          <w:highlight w:val="white"/>
        </w:rPr>
      </w:pPr>
      <w:r w:rsidDel="00000000" w:rsidR="00000000" w:rsidRPr="00000000">
        <w:rPr>
          <w:rtl w:val="0"/>
        </w:rPr>
      </w:r>
    </w:p>
    <w:p w:rsidR="00000000" w:rsidDel="00000000" w:rsidP="00000000" w:rsidRDefault="00000000" w:rsidRPr="00000000" w14:paraId="00000129">
      <w:pPr>
        <w:jc w:val="both"/>
        <w:rPr>
          <w:smallCaps w:val="1"/>
          <w:color w:val="0d0d0d"/>
          <w:highlight w:val="white"/>
        </w:rPr>
      </w:pPr>
      <w:r w:rsidDel="00000000" w:rsidR="00000000" w:rsidRPr="00000000">
        <w:rPr>
          <w:rtl w:val="0"/>
        </w:rPr>
      </w:r>
    </w:p>
    <w:p w:rsidR="00000000" w:rsidDel="00000000" w:rsidP="00000000" w:rsidRDefault="00000000" w:rsidRPr="00000000" w14:paraId="0000012A">
      <w:pPr>
        <w:jc w:val="both"/>
        <w:rPr>
          <w:smallCaps w:val="1"/>
          <w:color w:val="0d0d0d"/>
          <w:highlight w:val="white"/>
        </w:rPr>
      </w:pPr>
      <w:r w:rsidDel="00000000" w:rsidR="00000000" w:rsidRPr="00000000">
        <w:rPr>
          <w:rtl w:val="0"/>
        </w:rPr>
      </w:r>
    </w:p>
    <w:p w:rsidR="00000000" w:rsidDel="00000000" w:rsidP="00000000" w:rsidRDefault="00000000" w:rsidRPr="00000000" w14:paraId="0000012B">
      <w:pPr>
        <w:jc w:val="both"/>
        <w:rPr>
          <w:smallCaps w:val="1"/>
          <w:color w:val="0d0d0d"/>
          <w:highlight w:val="white"/>
        </w:rPr>
      </w:pPr>
      <w:r w:rsidDel="00000000" w:rsidR="00000000" w:rsidRPr="00000000">
        <w:rPr>
          <w:rtl w:val="0"/>
        </w:rPr>
      </w:r>
    </w:p>
    <w:p w:rsidR="00000000" w:rsidDel="00000000" w:rsidP="00000000" w:rsidRDefault="00000000" w:rsidRPr="00000000" w14:paraId="0000012C">
      <w:pPr>
        <w:jc w:val="both"/>
        <w:rPr>
          <w:smallCaps w:val="1"/>
          <w:color w:val="0d0d0d"/>
          <w:highlight w:val="white"/>
        </w:rPr>
      </w:pPr>
      <w:r w:rsidDel="00000000" w:rsidR="00000000" w:rsidRPr="00000000">
        <w:rPr>
          <w:rtl w:val="0"/>
        </w:rPr>
      </w:r>
    </w:p>
    <w:p w:rsidR="00000000" w:rsidDel="00000000" w:rsidP="00000000" w:rsidRDefault="00000000" w:rsidRPr="00000000" w14:paraId="0000012D">
      <w:pPr>
        <w:jc w:val="both"/>
        <w:rPr>
          <w:smallCaps w:val="1"/>
          <w:color w:val="0d0d0d"/>
          <w:highlight w:val="white"/>
        </w:rPr>
      </w:pPr>
      <w:r w:rsidDel="00000000" w:rsidR="00000000" w:rsidRPr="00000000">
        <w:rPr>
          <w:rtl w:val="0"/>
        </w:rPr>
      </w:r>
    </w:p>
    <w:p w:rsidR="00000000" w:rsidDel="00000000" w:rsidP="00000000" w:rsidRDefault="00000000" w:rsidRPr="00000000" w14:paraId="0000012E">
      <w:pPr>
        <w:jc w:val="both"/>
        <w:rPr>
          <w:smallCaps w:val="1"/>
          <w:color w:val="0d0d0d"/>
          <w:highlight w:val="white"/>
        </w:rPr>
      </w:pPr>
      <w:r w:rsidDel="00000000" w:rsidR="00000000" w:rsidRPr="00000000">
        <w:rPr>
          <w:rtl w:val="0"/>
        </w:rPr>
      </w:r>
    </w:p>
    <w:p w:rsidR="00000000" w:rsidDel="00000000" w:rsidP="00000000" w:rsidRDefault="00000000" w:rsidRPr="00000000" w14:paraId="0000012F">
      <w:pPr>
        <w:jc w:val="both"/>
        <w:rPr>
          <w:smallCaps w:val="1"/>
          <w:color w:val="0d0d0d"/>
          <w:highlight w:val="white"/>
        </w:rPr>
      </w:pPr>
      <w:r w:rsidDel="00000000" w:rsidR="00000000" w:rsidRPr="00000000">
        <w:rPr>
          <w:rtl w:val="0"/>
        </w:rPr>
      </w:r>
    </w:p>
    <w:p w:rsidR="00000000" w:rsidDel="00000000" w:rsidP="00000000" w:rsidRDefault="00000000" w:rsidRPr="00000000" w14:paraId="00000130">
      <w:pPr>
        <w:jc w:val="both"/>
        <w:rPr>
          <w:smallCaps w:val="1"/>
          <w:color w:val="0d0d0d"/>
          <w:highlight w:val="white"/>
        </w:rPr>
      </w:pPr>
      <w:r w:rsidDel="00000000" w:rsidR="00000000" w:rsidRPr="00000000">
        <w:rPr>
          <w:rtl w:val="0"/>
        </w:rPr>
      </w:r>
    </w:p>
    <w:p w:rsidR="00000000" w:rsidDel="00000000" w:rsidP="00000000" w:rsidRDefault="00000000" w:rsidRPr="00000000" w14:paraId="00000131">
      <w:pPr>
        <w:jc w:val="both"/>
        <w:rPr>
          <w:smallCaps w:val="1"/>
          <w:color w:val="0d0d0d"/>
          <w:highlight w:val="white"/>
        </w:rPr>
      </w:pPr>
      <w:r w:rsidDel="00000000" w:rsidR="00000000" w:rsidRPr="00000000">
        <w:rPr>
          <w:rtl w:val="0"/>
        </w:rPr>
      </w:r>
    </w:p>
    <w:p w:rsidR="00000000" w:rsidDel="00000000" w:rsidP="00000000" w:rsidRDefault="00000000" w:rsidRPr="00000000" w14:paraId="00000132">
      <w:pPr>
        <w:jc w:val="both"/>
        <w:rPr>
          <w:smallCaps w:val="1"/>
          <w:color w:val="0d0d0d"/>
          <w:highlight w:val="white"/>
        </w:rPr>
      </w:pPr>
      <w:r w:rsidDel="00000000" w:rsidR="00000000" w:rsidRPr="00000000">
        <w:rPr>
          <w:rtl w:val="0"/>
        </w:rPr>
      </w:r>
    </w:p>
    <w:p w:rsidR="00000000" w:rsidDel="00000000" w:rsidP="00000000" w:rsidRDefault="00000000" w:rsidRPr="00000000" w14:paraId="00000133">
      <w:pPr>
        <w:jc w:val="both"/>
        <w:rPr>
          <w:smallCaps w:val="1"/>
          <w:color w:val="0d0d0d"/>
          <w:highlight w:val="white"/>
        </w:rPr>
      </w:pPr>
      <w:r w:rsidDel="00000000" w:rsidR="00000000" w:rsidRPr="00000000">
        <w:rPr>
          <w:rtl w:val="0"/>
        </w:rPr>
      </w:r>
    </w:p>
    <w:p w:rsidR="00000000" w:rsidDel="00000000" w:rsidP="00000000" w:rsidRDefault="00000000" w:rsidRPr="00000000" w14:paraId="00000134">
      <w:pPr>
        <w:jc w:val="both"/>
        <w:rPr>
          <w:smallCaps w:val="1"/>
          <w:color w:val="0d0d0d"/>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35">
      <w:pPr>
        <w:jc w:val="center"/>
        <w:rPr>
          <w:b w:val="1"/>
          <w:smallCaps w:val="1"/>
          <w:color w:val="0d0d0d"/>
          <w:highlight w:val="white"/>
        </w:rPr>
      </w:pPr>
      <w:r w:rsidDel="00000000" w:rsidR="00000000" w:rsidRPr="00000000">
        <w:rPr>
          <w:b w:val="1"/>
          <w:smallCaps w:val="1"/>
          <w:color w:val="0d0d0d"/>
          <w:highlight w:val="white"/>
          <w:rtl w:val="0"/>
        </w:rPr>
        <w:t xml:space="preserve">CHAPTER I </w:t>
      </w:r>
    </w:p>
    <w:p w:rsidR="00000000" w:rsidDel="00000000" w:rsidP="00000000" w:rsidRDefault="00000000" w:rsidRPr="00000000" w14:paraId="00000136">
      <w:pPr>
        <w:jc w:val="center"/>
        <w:rPr>
          <w:smallCaps w:val="1"/>
          <w:color w:val="0d0d0d"/>
          <w:highlight w:val="white"/>
        </w:rPr>
      </w:pPr>
      <w:r w:rsidDel="00000000" w:rsidR="00000000" w:rsidRPr="00000000">
        <w:rPr>
          <w:rtl w:val="0"/>
        </w:rPr>
      </w:r>
    </w:p>
    <w:p w:rsidR="00000000" w:rsidDel="00000000" w:rsidP="00000000" w:rsidRDefault="00000000" w:rsidRPr="00000000" w14:paraId="00000137">
      <w:pPr>
        <w:jc w:val="both"/>
        <w:rPr>
          <w:b w:val="1"/>
          <w:smallCaps w:val="1"/>
          <w:color w:val="0d0d0d"/>
          <w:highlight w:val="white"/>
        </w:rPr>
      </w:pPr>
      <w:r w:rsidDel="00000000" w:rsidR="00000000" w:rsidRPr="00000000">
        <w:rPr>
          <w:b w:val="1"/>
          <w:smallCaps w:val="1"/>
          <w:color w:val="0d0d0d"/>
          <w:highlight w:val="white"/>
          <w:rtl w:val="0"/>
        </w:rPr>
        <w:t xml:space="preserve">INTRODUCTION</w:t>
      </w:r>
    </w:p>
    <w:p w:rsidR="00000000" w:rsidDel="00000000" w:rsidP="00000000" w:rsidRDefault="00000000" w:rsidRPr="00000000" w14:paraId="00000138">
      <w:pPr>
        <w:jc w:val="both"/>
        <w:rPr>
          <w:smallCaps w:val="1"/>
          <w:color w:val="0d0d0d"/>
          <w:highlight w:val="white"/>
        </w:rPr>
      </w:pPr>
      <w:r w:rsidDel="00000000" w:rsidR="00000000" w:rsidRPr="00000000">
        <w:rPr>
          <w:rtl w:val="0"/>
        </w:rPr>
      </w:r>
    </w:p>
    <w:p w:rsidR="00000000" w:rsidDel="00000000" w:rsidP="00000000" w:rsidRDefault="00000000" w:rsidRPr="00000000" w14:paraId="00000139">
      <w:pPr>
        <w:jc w:val="both"/>
        <w:rPr>
          <w:highlight w:val="white"/>
        </w:rPr>
      </w:pPr>
      <w:r w:rsidDel="00000000" w:rsidR="00000000" w:rsidRPr="00000000">
        <w:rPr>
          <w:b w:val="1"/>
          <w:highlight w:val="white"/>
          <w:rtl w:val="0"/>
        </w:rPr>
        <w:t xml:space="preserve">1.1 Background</w:t>
      </w:r>
      <w:r w:rsidDel="00000000" w:rsidR="00000000" w:rsidRPr="00000000">
        <w:rPr>
          <w:rtl w:val="0"/>
        </w:rPr>
      </w:r>
    </w:p>
    <w:p w:rsidR="00000000" w:rsidDel="00000000" w:rsidP="00000000" w:rsidRDefault="00000000" w:rsidRPr="00000000" w14:paraId="0000013A">
      <w:pPr>
        <w:spacing w:after="240" w:before="240" w:lineRule="auto"/>
        <w:jc w:val="both"/>
        <w:rPr>
          <w:highlight w:val="white"/>
        </w:rPr>
      </w:pPr>
      <w:r w:rsidDel="00000000" w:rsidR="00000000" w:rsidRPr="00000000">
        <w:rPr>
          <w:highlight w:val="white"/>
          <w:rtl w:val="0"/>
        </w:rPr>
        <w:t xml:space="preserve">The healthcare industry is undergoing a profound transition, shifting from traditional, institutional models to more consumer-directed, technology-enabled health solutions (Cohen et al., 2020). Driven by rising demand for personalised, convenient, and preventive wellness care, technologies once reserved for hospitals, specialty clinics, or elite athletes—such as hyperbaric chambers, photobiomodulation devices, brain entrainment systems, cryotherapy units, and real-time biometric wearables—are now being reimagined for at-home and mobile use.</w:t>
      </w:r>
    </w:p>
    <w:p w:rsidR="00000000" w:rsidDel="00000000" w:rsidP="00000000" w:rsidRDefault="00000000" w:rsidRPr="00000000" w14:paraId="0000013B">
      <w:pPr>
        <w:spacing w:after="240" w:before="240" w:lineRule="auto"/>
        <w:jc w:val="both"/>
        <w:rPr>
          <w:highlight w:val="white"/>
        </w:rPr>
      </w:pPr>
      <w:r w:rsidDel="00000000" w:rsidR="00000000" w:rsidRPr="00000000">
        <w:rPr>
          <w:highlight w:val="white"/>
          <w:rtl w:val="0"/>
        </w:rPr>
        <w:t xml:space="preserve">This movement represents not only technological progress, but a broader cultural transition toward self-managed health, where individuals seek greater autonomy and proactive control over their well-being. The convergence of market forces, rising consumer expectations, and accessible innovation is rapidly reshaping how care is accessed, delivered, and trusted.</w:t>
      </w:r>
    </w:p>
    <w:p w:rsidR="00000000" w:rsidDel="00000000" w:rsidP="00000000" w:rsidRDefault="00000000" w:rsidRPr="00000000" w14:paraId="0000013C">
      <w:pPr>
        <w:spacing w:after="240" w:before="240" w:lineRule="auto"/>
        <w:jc w:val="both"/>
        <w:rPr>
          <w:highlight w:val="white"/>
        </w:rPr>
      </w:pPr>
      <w:r w:rsidDel="00000000" w:rsidR="00000000" w:rsidRPr="00000000">
        <w:rPr>
          <w:highlight w:val="white"/>
          <w:rtl w:val="0"/>
        </w:rPr>
        <w:t xml:space="preserve">These developments carry significant implications for public health policy, healthcare economics, and entrepreneurial innovation. At the same time, they raise pressing questions about trust, credibility, and decision-making—especially in the absence of centralized regulation and traditional clinical oversight.</w:t>
      </w:r>
    </w:p>
    <w:p w:rsidR="00000000" w:rsidDel="00000000" w:rsidP="00000000" w:rsidRDefault="00000000" w:rsidRPr="00000000" w14:paraId="0000013D">
      <w:pPr>
        <w:spacing w:after="240" w:before="240" w:lineRule="auto"/>
        <w:jc w:val="both"/>
        <w:rPr>
          <w:smallCaps w:val="1"/>
          <w:color w:val="0d0d0d"/>
          <w:highlight w:val="white"/>
        </w:rPr>
      </w:pPr>
      <w:r w:rsidDel="00000000" w:rsidR="00000000" w:rsidRPr="00000000">
        <w:rPr>
          <w:highlight w:val="white"/>
          <w:rtl w:val="0"/>
        </w:rPr>
        <w:t xml:space="preserve">These themes are explored further in Chapter V through the proposed Wellness Trust Lifecycle+ (W-TLC+)—a conceptual model for understanding how consumer trust develops around emerging wellness technologies (Lambrew, 2007; Lambrew and Podesta, 2006).</w:t>
      </w:r>
      <w:r w:rsidDel="00000000" w:rsidR="00000000" w:rsidRPr="00000000">
        <w:rPr>
          <w:rtl w:val="0"/>
        </w:rPr>
      </w:r>
    </w:p>
    <w:p w:rsidR="00000000" w:rsidDel="00000000" w:rsidP="00000000" w:rsidRDefault="00000000" w:rsidRPr="00000000" w14:paraId="0000013E">
      <w:pPr>
        <w:jc w:val="both"/>
        <w:rPr>
          <w:highlight w:val="white"/>
        </w:rPr>
      </w:pPr>
      <w:r w:rsidDel="00000000" w:rsidR="00000000" w:rsidRPr="00000000">
        <w:rPr>
          <w:b w:val="1"/>
          <w:highlight w:val="white"/>
          <w:rtl w:val="0"/>
        </w:rPr>
        <w:t xml:space="preserve">1.2 The Aging Population as a Catalyst for Change:</w:t>
      </w:r>
      <w:r w:rsidDel="00000000" w:rsidR="00000000" w:rsidRPr="00000000">
        <w:rPr>
          <w:rtl w:val="0"/>
        </w:rPr>
      </w:r>
    </w:p>
    <w:p w:rsidR="00000000" w:rsidDel="00000000" w:rsidP="00000000" w:rsidRDefault="00000000" w:rsidRPr="00000000" w14:paraId="0000013F">
      <w:pPr>
        <w:spacing w:after="240" w:before="240" w:lineRule="auto"/>
        <w:jc w:val="both"/>
        <w:rPr/>
      </w:pPr>
      <w:r w:rsidDel="00000000" w:rsidR="00000000" w:rsidRPr="00000000">
        <w:rPr>
          <w:rtl w:val="0"/>
        </w:rPr>
        <w:t xml:space="preserve">A significant driver of change in healthcare is the aging of the global population. In the United States, Medicare membership is projected to rise by over 50% in the next 15 years—from 54 million beneficiaries to more than 80 million by 2030 (Medicare Payment Advisory Commission [MedPAC], 2016). According to Census projections, by 2030, the proportion of Americans aged 65 and older will nearly double, from 13% in 2010 to 20% (Ortman, Velkoff and Hogan, 2014). Furthermore, the number of Americans aged 85 and older is expected to quadruple by 2036 and triple again by 2049 (MedPAC, 2016). This demographic shift underscores the growing need for technologies that enable older adults to manage their health independently, safely, and affordably.</w:t>
      </w:r>
    </w:p>
    <w:p w:rsidR="00000000" w:rsidDel="00000000" w:rsidP="00000000" w:rsidRDefault="00000000" w:rsidRPr="00000000" w14:paraId="00000140">
      <w:pPr>
        <w:spacing w:after="240" w:before="240" w:lineRule="auto"/>
        <w:jc w:val="both"/>
        <w:rPr/>
      </w:pPr>
      <w:r w:rsidDel="00000000" w:rsidR="00000000" w:rsidRPr="00000000">
        <w:rPr>
          <w:rtl w:val="0"/>
        </w:rPr>
        <w:t xml:space="preserve">Yet this trend isn’t limited to aging populations. Younger generations are also fueling demand for customizable, real-time health optimization tools—such as wearable biomarker trackers, longevity-enhancing protocols, and digital recovery platforms. Across all ages, there is growing interest in consumer-friendly, tech-enabled solutions that support personalised, proactive care.</w:t>
      </w:r>
    </w:p>
    <w:p w:rsidR="00000000" w:rsidDel="00000000" w:rsidP="00000000" w:rsidRDefault="00000000" w:rsidRPr="00000000" w14:paraId="00000141">
      <w:pPr>
        <w:spacing w:after="240" w:before="240" w:lineRule="auto"/>
        <w:jc w:val="both"/>
        <w:rPr/>
      </w:pPr>
      <w:r w:rsidDel="00000000" w:rsidR="00000000" w:rsidRPr="00000000">
        <w:rPr>
          <w:rtl w:val="0"/>
        </w:rPr>
        <w:t xml:space="preserve">Emergent wellness sectors—spanning recovery, performance, mental health, beauty, and longevity—are becoming increasingly age-agnostic. These categories now appeal across generations, reflecting a shift away from traditional healthcare segmentation, where products were designed for narrow age brackets (e.g., youth fitness or geriatric care). Today, innovation is expected to adapt to users at any life stage.</w:t>
      </w:r>
    </w:p>
    <w:p w:rsidR="00000000" w:rsidDel="00000000" w:rsidP="00000000" w:rsidRDefault="00000000" w:rsidRPr="00000000" w14:paraId="00000142">
      <w:pPr>
        <w:spacing w:after="240" w:before="240" w:lineRule="auto"/>
        <w:jc w:val="both"/>
        <w:rPr/>
      </w:pPr>
      <w:r w:rsidDel="00000000" w:rsidR="00000000" w:rsidRPr="00000000">
        <w:rPr>
          <w:rtl w:val="0"/>
        </w:rPr>
        <w:t xml:space="preserve">This age-agnostic trend has profound implications for entrepreneurs. It expands the Total Addressable Market (TAM), encourages inclusive design, and opens the door to lifetime customer engagement. Start-ups and established players alike must ask how their offerings can serve both a 27-year-old performance optimizer and a 72-year-old managing post-surgical recovery—without compromising usability, trust, or effectiveness.</w:t>
      </w:r>
    </w:p>
    <w:p w:rsidR="00000000" w:rsidDel="00000000" w:rsidP="00000000" w:rsidRDefault="00000000" w:rsidRPr="00000000" w14:paraId="00000143">
      <w:pPr>
        <w:spacing w:after="240" w:before="240" w:lineRule="auto"/>
        <w:jc w:val="both"/>
        <w:rPr>
          <w:highlight w:val="white"/>
        </w:rPr>
      </w:pPr>
      <w:r w:rsidDel="00000000" w:rsidR="00000000" w:rsidRPr="00000000">
        <w:rPr>
          <w:rtl w:val="0"/>
        </w:rPr>
        <w:t xml:space="preserve">Age-agnostic design doesn’t mean watered-down functionality; it means delivering targeted, personalized outcomes that are accessible and effective across a wide demographic spectrum.</w:t>
      </w:r>
      <w:r w:rsidDel="00000000" w:rsidR="00000000" w:rsidRPr="00000000">
        <w:rPr>
          <w:rtl w:val="0"/>
        </w:rPr>
      </w:r>
    </w:p>
    <w:p w:rsidR="00000000" w:rsidDel="00000000" w:rsidP="00000000" w:rsidRDefault="00000000" w:rsidRPr="00000000" w14:paraId="00000144">
      <w:pPr>
        <w:jc w:val="both"/>
        <w:rPr/>
      </w:pPr>
      <w:r w:rsidDel="00000000" w:rsidR="00000000" w:rsidRPr="00000000">
        <w:rPr>
          <w:rtl w:val="0"/>
        </w:rPr>
      </w:r>
    </w:p>
    <w:p w:rsidR="00000000" w:rsidDel="00000000" w:rsidP="00000000" w:rsidRDefault="00000000" w:rsidRPr="00000000" w14:paraId="00000145">
      <w:pPr>
        <w:jc w:val="both"/>
        <w:rPr>
          <w:b w:val="1"/>
          <w:highlight w:val="white"/>
        </w:rPr>
      </w:pPr>
      <w:r w:rsidDel="00000000" w:rsidR="00000000" w:rsidRPr="00000000">
        <w:rPr>
          <w:b w:val="1"/>
          <w:highlight w:val="white"/>
          <w:rtl w:val="0"/>
        </w:rPr>
        <w:t xml:space="preserve">1.3 The Economic Burden of Chronic Disease and the Push for Self-Managed Care:</w:t>
      </w:r>
    </w:p>
    <w:p w:rsidR="00000000" w:rsidDel="00000000" w:rsidP="00000000" w:rsidRDefault="00000000" w:rsidRPr="00000000" w14:paraId="00000146">
      <w:pPr>
        <w:jc w:val="both"/>
        <w:rPr>
          <w:highlight w:val="white"/>
        </w:rPr>
      </w:pPr>
      <w:r w:rsidDel="00000000" w:rsidR="00000000" w:rsidRPr="00000000">
        <w:rPr>
          <w:rtl w:val="0"/>
        </w:rPr>
      </w:r>
    </w:p>
    <w:p w:rsidR="00000000" w:rsidDel="00000000" w:rsidP="00000000" w:rsidRDefault="00000000" w:rsidRPr="00000000" w14:paraId="00000147">
      <w:pPr>
        <w:spacing w:after="240" w:before="240" w:lineRule="auto"/>
        <w:jc w:val="both"/>
        <w:rPr>
          <w:highlight w:val="white"/>
        </w:rPr>
      </w:pPr>
      <w:r w:rsidDel="00000000" w:rsidR="00000000" w:rsidRPr="00000000">
        <w:rPr>
          <w:highlight w:val="white"/>
          <w:rtl w:val="0"/>
        </w:rPr>
        <w:t xml:space="preserve">According to the Centers for Disease Control and Prevention (2016), chronic diseases account for approximately 75% of total U.S. healthcare spending. This staggering economic burden reflects the long-term costs of conditions such as cardiovascular disease, diabetes, and obesity—many of which are largely preventable or manageable through early, consistent interventions. These realities underscore the urgent need for creative, technology-enabled solutions that empower individuals to take control of their health journeys.</w:t>
      </w:r>
    </w:p>
    <w:p w:rsidR="00000000" w:rsidDel="00000000" w:rsidP="00000000" w:rsidRDefault="00000000" w:rsidRPr="00000000" w14:paraId="00000148">
      <w:pPr>
        <w:spacing w:after="240" w:before="240" w:lineRule="auto"/>
        <w:jc w:val="both"/>
        <w:rPr>
          <w:highlight w:val="white"/>
        </w:rPr>
      </w:pPr>
      <w:r w:rsidDel="00000000" w:rsidR="00000000" w:rsidRPr="00000000">
        <w:rPr>
          <w:highlight w:val="white"/>
          <w:rtl w:val="0"/>
        </w:rPr>
        <w:t xml:space="preserve">The growing appeal of self-managed care is tied to both rising costs and dissatisfaction with overburdened healthcare systems. Individuals are increasingly turning to accessible, personalised tools that support wellness, recovery, and disease prevention outside of traditional clinical settings. From wearable biometric trackers to app-based coaching platforms, the shift toward decentralised, consumer-centric health tools represents both a public health necessity and a commercial opportunity.</w:t>
      </w:r>
    </w:p>
    <w:p w:rsidR="00000000" w:rsidDel="00000000" w:rsidP="00000000" w:rsidRDefault="00000000" w:rsidRPr="00000000" w14:paraId="00000149">
      <w:pPr>
        <w:spacing w:after="240" w:before="240" w:lineRule="auto"/>
        <w:jc w:val="both"/>
        <w:rPr>
          <w:highlight w:val="white"/>
        </w:rPr>
      </w:pPr>
      <w:r w:rsidDel="00000000" w:rsidR="00000000" w:rsidRPr="00000000">
        <w:rPr>
          <w:highlight w:val="white"/>
          <w:rtl w:val="0"/>
        </w:rPr>
        <w:t xml:space="preserve">An essential requirement for deploying health technologies in residential or mobile settings is ensuring that treatment efficacy, usability, and user safety are not compromised (Inspectie voor de Gezondheidszorg, 2008). Historically, medical technologies were designed exclusively for clinical environments (Kaufman-Rivi et al., 2010; Weick-Brady and Lazerow, 2006). Today’s context demands a design evolution—solutions must be not only portable and secure but also intuitive and frictionless for users across a broad demographic spectrum.</w:t>
      </w:r>
    </w:p>
    <w:p w:rsidR="00000000" w:rsidDel="00000000" w:rsidP="00000000" w:rsidRDefault="00000000" w:rsidRPr="00000000" w14:paraId="0000014A">
      <w:pPr>
        <w:spacing w:after="240" w:before="240" w:lineRule="auto"/>
        <w:jc w:val="both"/>
        <w:rPr>
          <w:highlight w:val="white"/>
        </w:rPr>
      </w:pPr>
      <w:r w:rsidDel="00000000" w:rsidR="00000000" w:rsidRPr="00000000">
        <w:rPr>
          <w:highlight w:val="white"/>
          <w:rtl w:val="0"/>
        </w:rPr>
        <w:t xml:space="preserve">The rise of age-agnostic innovation in fields such as recovery, mental health, longevity, and personalised performance has accelerated this transition. Today’s tools must serve diverse populations—from seniors managing chronic conditions to younger users seeking optimal wellness through daily tracking and proactive interventions. These developments reflect a generational convergence in health behaviours and the potential to deliver preventive care that scales across age, location, and income levels.</w:t>
      </w:r>
    </w:p>
    <w:p w:rsidR="00000000" w:rsidDel="00000000" w:rsidP="00000000" w:rsidRDefault="00000000" w:rsidRPr="00000000" w14:paraId="0000014B">
      <w:pPr>
        <w:spacing w:after="240" w:before="240" w:lineRule="auto"/>
        <w:jc w:val="both"/>
        <w:rPr>
          <w:highlight w:val="white"/>
        </w:rPr>
      </w:pPr>
      <w:r w:rsidDel="00000000" w:rsidR="00000000" w:rsidRPr="00000000">
        <w:rPr>
          <w:highlight w:val="white"/>
          <w:rtl w:val="0"/>
        </w:rPr>
        <w:t xml:space="preserve">The implications are clear: the convergence of chronic disease burden, consumer empowerment, and technology innovation has redefined what “healthcare” means. Entrepreneurs who respond to this shift with credible, scalable, and inclusive solutions are uniquely positioned to improve public health outcomes while reducing long-term systemic costs. The future of healthcare may depend not only on what happens in hospitals, but on what happens in homes, on wrists, and in everyday lives.</w:t>
      </w:r>
    </w:p>
    <w:p w:rsidR="00000000" w:rsidDel="00000000" w:rsidP="00000000" w:rsidRDefault="00000000" w:rsidRPr="00000000" w14:paraId="0000014C">
      <w:pPr>
        <w:jc w:val="both"/>
        <w:rPr>
          <w:highlight w:val="white"/>
        </w:rPr>
      </w:pPr>
      <w:r w:rsidDel="00000000" w:rsidR="00000000" w:rsidRPr="00000000">
        <w:rPr>
          <w:rtl w:val="0"/>
        </w:rPr>
      </w:r>
    </w:p>
    <w:p w:rsidR="00000000" w:rsidDel="00000000" w:rsidP="00000000" w:rsidRDefault="00000000" w:rsidRPr="00000000" w14:paraId="0000014D">
      <w:pPr>
        <w:jc w:val="both"/>
        <w:rPr>
          <w:b w:val="1"/>
          <w:highlight w:val="white"/>
        </w:rPr>
      </w:pPr>
      <w:r w:rsidDel="00000000" w:rsidR="00000000" w:rsidRPr="00000000">
        <w:rPr>
          <w:b w:val="1"/>
          <w:highlight w:val="white"/>
          <w:rtl w:val="0"/>
        </w:rPr>
        <w:t xml:space="preserve">1.4 Innovation, Investment, and the Role of Biomarkers in Preventive Wellness</w:t>
      </w:r>
    </w:p>
    <w:p w:rsidR="00000000" w:rsidDel="00000000" w:rsidP="00000000" w:rsidRDefault="00000000" w:rsidRPr="00000000" w14:paraId="0000014E">
      <w:pPr>
        <w:jc w:val="both"/>
        <w:rPr>
          <w:b w:val="1"/>
          <w:highlight w:val="white"/>
        </w:rPr>
      </w:pPr>
      <w:r w:rsidDel="00000000" w:rsidR="00000000" w:rsidRPr="00000000">
        <w:rPr>
          <w:rtl w:val="0"/>
        </w:rPr>
      </w:r>
    </w:p>
    <w:p w:rsidR="00000000" w:rsidDel="00000000" w:rsidP="00000000" w:rsidRDefault="00000000" w:rsidRPr="00000000" w14:paraId="0000014F">
      <w:pPr>
        <w:spacing w:after="240" w:before="240" w:lineRule="auto"/>
        <w:jc w:val="both"/>
        <w:rPr>
          <w:highlight w:val="white"/>
        </w:rPr>
      </w:pPr>
      <w:r w:rsidDel="00000000" w:rsidR="00000000" w:rsidRPr="00000000">
        <w:rPr>
          <w:highlight w:val="white"/>
          <w:rtl w:val="0"/>
        </w:rPr>
        <w:t xml:space="preserve">To meet rising demand, both established companies and a surge of startups are actively developing novel solutions in today’s dynamic digital health landscape. Yet the road to market is complex, marked by regulatory hurdles, consumer skepticism, and the need for viable business models and seamless user experiences. Venture capital investment in digital health reached a record high of USD 29 billion globally (Gormley, 2024)—a milestone largely catalysed by the COVID-19 pandemic, which highlighted the urgent need for innovation in healthcare delivery models.</w:t>
      </w:r>
    </w:p>
    <w:p w:rsidR="00000000" w:rsidDel="00000000" w:rsidP="00000000" w:rsidRDefault="00000000" w:rsidRPr="00000000" w14:paraId="00000150">
      <w:pPr>
        <w:spacing w:after="240" w:before="240" w:lineRule="auto"/>
        <w:jc w:val="both"/>
        <w:rPr>
          <w:highlight w:val="white"/>
        </w:rPr>
      </w:pPr>
      <w:r w:rsidDel="00000000" w:rsidR="00000000" w:rsidRPr="00000000">
        <w:rPr>
          <w:highlight w:val="white"/>
          <w:rtl w:val="0"/>
        </w:rPr>
        <w:t xml:space="preserve">However, as the market matures, investors have become more selective. There is decreasing tolerance for companies offering only unvalidated claims or patent filings without clinical traction. Many early digital health startups failed to show meaningful returns on investment, resulting in greater pressure on entrepreneurs to demonstrate both technological innovation and clinical credibility.</w:t>
      </w:r>
    </w:p>
    <w:p w:rsidR="00000000" w:rsidDel="00000000" w:rsidP="00000000" w:rsidRDefault="00000000" w:rsidRPr="00000000" w14:paraId="00000151">
      <w:pPr>
        <w:spacing w:after="240" w:before="240" w:lineRule="auto"/>
        <w:jc w:val="both"/>
        <w:rPr>
          <w:highlight w:val="white"/>
        </w:rPr>
      </w:pPr>
      <w:r w:rsidDel="00000000" w:rsidR="00000000" w:rsidRPr="00000000">
        <w:rPr>
          <w:highlight w:val="white"/>
          <w:rtl w:val="0"/>
        </w:rPr>
        <w:t xml:space="preserve">This has led to a growing emphasis on outcomes-focused validation. Entrepreneurs are increasingly expected to conduct rigorous studies to demonstrate product efficacy, building credibility with both investors and users. Scalability is equally important: solutions must function reliably across population sizes and healthcare settings, while delivering consistent quality and user experience. Sustained user engagement is another critical challenge. In response, many startups now apply behavioural science and user-centric design principles to create intuitive platforms that promote long-term use.</w:t>
      </w:r>
    </w:p>
    <w:p w:rsidR="00000000" w:rsidDel="00000000" w:rsidP="00000000" w:rsidRDefault="00000000" w:rsidRPr="00000000" w14:paraId="00000152">
      <w:pPr>
        <w:spacing w:after="240" w:before="240" w:lineRule="auto"/>
        <w:jc w:val="both"/>
        <w:rPr>
          <w:highlight w:val="white"/>
        </w:rPr>
      </w:pPr>
      <w:r w:rsidDel="00000000" w:rsidR="00000000" w:rsidRPr="00000000">
        <w:rPr>
          <w:highlight w:val="white"/>
          <w:rtl w:val="0"/>
        </w:rPr>
        <w:t xml:space="preserve">The push to innovate is further complicated by challenges such as regulatory compliance, data privacy, and the need to establish strategic partnerships. Collaborations with healthcare institutions are increasingly essential, as traditional players now demand stricter validation before adopting digital solutions (Milne-Ives et al., 2025).</w:t>
      </w:r>
    </w:p>
    <w:p w:rsidR="00000000" w:rsidDel="00000000" w:rsidP="00000000" w:rsidRDefault="00000000" w:rsidRPr="00000000" w14:paraId="00000153">
      <w:pPr>
        <w:spacing w:after="240" w:before="240" w:lineRule="auto"/>
        <w:jc w:val="both"/>
        <w:rPr>
          <w:highlight w:val="white"/>
        </w:rPr>
      </w:pPr>
      <w:r w:rsidDel="00000000" w:rsidR="00000000" w:rsidRPr="00000000">
        <w:rPr>
          <w:highlight w:val="white"/>
          <w:rtl w:val="0"/>
        </w:rPr>
        <w:t xml:space="preserve">A particularly powerful trend is the mainstreaming of biometric and biomarker data as tools for daily wellness decisions. Metrics such as heart rate variability (HRV), VO₂ max, REM and deep sleep patterns, sleep latency, blood glucose levels, and biological age estimators are now accessible to everyday consumers through wearable tech. Once the domain of elite athletes or clinical settings, these tools are being democratised via apps and platforms that provide real-time health insights.</w:t>
      </w:r>
    </w:p>
    <w:p w:rsidR="00000000" w:rsidDel="00000000" w:rsidP="00000000" w:rsidRDefault="00000000" w:rsidRPr="00000000" w14:paraId="00000154">
      <w:pPr>
        <w:spacing w:after="240" w:before="240" w:lineRule="auto"/>
        <w:jc w:val="both"/>
        <w:rPr>
          <w:highlight w:val="white"/>
        </w:rPr>
      </w:pPr>
      <w:r w:rsidDel="00000000" w:rsidR="00000000" w:rsidRPr="00000000">
        <w:rPr>
          <w:highlight w:val="white"/>
          <w:rtl w:val="0"/>
        </w:rPr>
        <w:t xml:space="preserve">Emerging modalities like photobiomodulation (PBM)—delivered through red light panels, face masks, and full-body beds—and advanced sleep tracking tools are becoming central to the consumer wellness stack. These technologies offer tangible benefits such as reduced inflammation, improved recovery, enhanced cognitive clarity, and circadian rhythm alignment. They also support a new trust-building mechanism: the ability for users to see and feel results, backed by transparent data—a dynamic explored further in the proposed Wellness Trust Lifecycle⁺ (W-TLC+).</w:t>
      </w:r>
    </w:p>
    <w:p w:rsidR="00000000" w:rsidDel="00000000" w:rsidP="00000000" w:rsidRDefault="00000000" w:rsidRPr="00000000" w14:paraId="00000155">
      <w:pPr>
        <w:spacing w:after="240" w:before="240" w:lineRule="auto"/>
        <w:jc w:val="both"/>
        <w:rPr>
          <w:highlight w:val="white"/>
        </w:rPr>
      </w:pPr>
      <w:r w:rsidDel="00000000" w:rsidR="00000000" w:rsidRPr="00000000">
        <w:rPr>
          <w:highlight w:val="white"/>
          <w:rtl w:val="0"/>
        </w:rPr>
        <w:t xml:space="preserve">Entrepreneurs are now expanding into more nuanced indicators, including frailty indices, inflammatory markers, and exposure metrics such as microplastic loads or toxin sensitivity. Heavily influenced by the functional medicine movement, this evolution emphasises personalised diagnostics and system-level understanding. Consumers increasingly demand quantifiable, individualised proof of efficacy—far beyond generic wellness claims.</w:t>
      </w:r>
    </w:p>
    <w:p w:rsidR="00000000" w:rsidDel="00000000" w:rsidP="00000000" w:rsidRDefault="00000000" w:rsidRPr="00000000" w14:paraId="00000156">
      <w:pPr>
        <w:spacing w:after="240" w:before="240" w:lineRule="auto"/>
        <w:jc w:val="both"/>
        <w:rPr>
          <w:highlight w:val="white"/>
        </w:rPr>
      </w:pPr>
      <w:r w:rsidDel="00000000" w:rsidR="00000000" w:rsidRPr="00000000">
        <w:rPr>
          <w:highlight w:val="white"/>
          <w:rtl w:val="0"/>
        </w:rPr>
        <w:t xml:space="preserve">This biomarker-led evolution signals a broader shift toward data-driven self-care. For entrepreneurs, this creates both opportunity and responsibility. Solutions must be technically sound, visually comprehensible, and built to promote consistent user engagement. In the absence of institutional validation, trust hinges on transparent metrics, measurable outcomes, and a frictionless user journey. As supported by the W-TLC+ framework, integrating real-time feedback loops into preventive health technologies is becoming foundational to achieving product-market fit, long-term retention, and consumer belief.</w:t>
      </w:r>
    </w:p>
    <w:p w:rsidR="00000000" w:rsidDel="00000000" w:rsidP="00000000" w:rsidRDefault="00000000" w:rsidRPr="00000000" w14:paraId="00000157">
      <w:pPr>
        <w:spacing w:after="240" w:before="240" w:lineRule="auto"/>
        <w:jc w:val="both"/>
        <w:rPr>
          <w:highlight w:val="white"/>
        </w:rPr>
      </w:pPr>
      <w:r w:rsidDel="00000000" w:rsidR="00000000" w:rsidRPr="00000000">
        <w:rPr>
          <w:highlight w:val="white"/>
          <w:rtl w:val="0"/>
        </w:rPr>
        <w:t xml:space="preserve">Key challenges facing digital wellness innovation include:</w:t>
      </w:r>
    </w:p>
    <w:p w:rsidR="00000000" w:rsidDel="00000000" w:rsidP="00000000" w:rsidRDefault="00000000" w:rsidRPr="00000000" w14:paraId="00000158">
      <w:pPr>
        <w:numPr>
          <w:ilvl w:val="0"/>
          <w:numId w:val="31"/>
        </w:numPr>
        <w:spacing w:after="0" w:afterAutospacing="0" w:before="240" w:lineRule="auto"/>
        <w:ind w:left="720" w:hanging="360"/>
        <w:rPr>
          <w:highlight w:val="white"/>
        </w:rPr>
      </w:pPr>
      <w:r w:rsidDel="00000000" w:rsidR="00000000" w:rsidRPr="00000000">
        <w:rPr>
          <w:highlight w:val="white"/>
          <w:rtl w:val="0"/>
        </w:rPr>
        <w:t xml:space="preserve">Regulatory barriers: Complex compliance and approval processes slow product rollout (Milne-Ives et al., 2025).</w:t>
        <w:br w:type="textWrapping"/>
      </w:r>
    </w:p>
    <w:p w:rsidR="00000000" w:rsidDel="00000000" w:rsidP="00000000" w:rsidRDefault="00000000" w:rsidRPr="00000000" w14:paraId="00000159">
      <w:pPr>
        <w:numPr>
          <w:ilvl w:val="0"/>
          <w:numId w:val="31"/>
        </w:numPr>
        <w:spacing w:after="0" w:afterAutospacing="0" w:before="0" w:beforeAutospacing="0" w:lineRule="auto"/>
        <w:ind w:left="720" w:hanging="360"/>
        <w:rPr>
          <w:highlight w:val="white"/>
        </w:rPr>
      </w:pPr>
      <w:r w:rsidDel="00000000" w:rsidR="00000000" w:rsidRPr="00000000">
        <w:rPr>
          <w:highlight w:val="white"/>
          <w:rtl w:val="0"/>
        </w:rPr>
        <w:t xml:space="preserve">Consumer trust and adoption: Many remain sceptical about new technologies and uncertain about their benefits (St. Louis, 2024).</w:t>
        <w:br w:type="textWrapping"/>
      </w:r>
    </w:p>
    <w:p w:rsidR="00000000" w:rsidDel="00000000" w:rsidP="00000000" w:rsidRDefault="00000000" w:rsidRPr="00000000" w14:paraId="0000015A">
      <w:pPr>
        <w:numPr>
          <w:ilvl w:val="0"/>
          <w:numId w:val="31"/>
        </w:numPr>
        <w:spacing w:after="0" w:afterAutospacing="0" w:before="0" w:beforeAutospacing="0" w:lineRule="auto"/>
        <w:ind w:left="720" w:hanging="360"/>
        <w:rPr>
          <w:highlight w:val="white"/>
        </w:rPr>
      </w:pPr>
      <w:r w:rsidDel="00000000" w:rsidR="00000000" w:rsidRPr="00000000">
        <w:rPr>
          <w:highlight w:val="white"/>
          <w:rtl w:val="0"/>
        </w:rPr>
        <w:t xml:space="preserve">Market scalability: Business models must bridge innovation and mass adoption (Schlieter et al., 2022).</w:t>
        <w:br w:type="textWrapping"/>
      </w:r>
    </w:p>
    <w:p w:rsidR="00000000" w:rsidDel="00000000" w:rsidP="00000000" w:rsidRDefault="00000000" w:rsidRPr="00000000" w14:paraId="0000015B">
      <w:pPr>
        <w:numPr>
          <w:ilvl w:val="0"/>
          <w:numId w:val="31"/>
        </w:numPr>
        <w:spacing w:after="240" w:before="0" w:beforeAutospacing="0" w:lineRule="auto"/>
        <w:ind w:left="720" w:hanging="360"/>
        <w:rPr>
          <w:highlight w:val="white"/>
        </w:rPr>
      </w:pPr>
      <w:r w:rsidDel="00000000" w:rsidR="00000000" w:rsidRPr="00000000">
        <w:rPr>
          <w:highlight w:val="white"/>
          <w:rtl w:val="0"/>
        </w:rPr>
        <w:t xml:space="preserve">User experience and accessibility: Platforms must be intuitive and integrate seamlessly into users’ lives (Adapt Digital, 2024).</w:t>
        <w:br w:type="textWrapping"/>
      </w:r>
    </w:p>
    <w:p w:rsidR="00000000" w:rsidDel="00000000" w:rsidP="00000000" w:rsidRDefault="00000000" w:rsidRPr="00000000" w14:paraId="0000015C">
      <w:pPr>
        <w:spacing w:after="240" w:before="240" w:lineRule="auto"/>
        <w:jc w:val="both"/>
        <w:rPr>
          <w:highlight w:val="white"/>
        </w:rPr>
      </w:pPr>
      <w:r w:rsidDel="00000000" w:rsidR="00000000" w:rsidRPr="00000000">
        <w:rPr>
          <w:highlight w:val="white"/>
          <w:rtl w:val="0"/>
        </w:rPr>
        <w:t xml:space="preserve">As health and technology continue to converge, the coming decade will determine whether portable and on-demand health interventions become a paradigm shift or a luxury product for the few. Successfully navigating these challenges will be critical to shaping the future of personalised, preventive healthcare—and building a more sustainable, inclusive wellness ecosystem.</w:t>
      </w:r>
    </w:p>
    <w:p w:rsidR="00000000" w:rsidDel="00000000" w:rsidP="00000000" w:rsidRDefault="00000000" w:rsidRPr="00000000" w14:paraId="0000015D">
      <w:pPr>
        <w:rPr>
          <w:b w:val="1"/>
          <w:highlight w:val="white"/>
        </w:rPr>
      </w:pPr>
      <w:r w:rsidDel="00000000" w:rsidR="00000000" w:rsidRPr="00000000">
        <w:rPr>
          <w:b w:val="1"/>
          <w:highlight w:val="white"/>
          <w:rtl w:val="0"/>
        </w:rPr>
        <w:t xml:space="preserve">1.5 Research Problem:</w:t>
      </w:r>
    </w:p>
    <w:p w:rsidR="00000000" w:rsidDel="00000000" w:rsidP="00000000" w:rsidRDefault="00000000" w:rsidRPr="00000000" w14:paraId="0000015E">
      <w:pPr>
        <w:spacing w:after="240" w:before="240" w:lineRule="auto"/>
        <w:jc w:val="both"/>
        <w:rPr/>
      </w:pPr>
      <w:r w:rsidDel="00000000" w:rsidR="00000000" w:rsidRPr="00000000">
        <w:rPr>
          <w:rtl w:val="0"/>
        </w:rPr>
        <w:t xml:space="preserve">Digital healthcare is among the largest and most rapidly evolving industries, shifting from a traditional, institution-based model toward a more decentralised, consumer-driven ecosystem (Narayan et al., 2024). Technologies such as wearables, mobile health applications, and artificial intelligence (AI) are empowering individuals to take a more active role in managing their health (Mahajan et al., 2025). However, widespread diffusion of these technologies remains limited, largely due to trust-related issues, perceived risks, and the lack of functional regulatory frameworks (Catapan et al., 2025; Al Meslamani, 2023).</w:t>
      </w:r>
    </w:p>
    <w:p w:rsidR="00000000" w:rsidDel="00000000" w:rsidP="00000000" w:rsidRDefault="00000000" w:rsidRPr="00000000" w14:paraId="0000015F">
      <w:pPr>
        <w:spacing w:after="240" w:before="240" w:lineRule="auto"/>
        <w:jc w:val="both"/>
        <w:rPr/>
      </w:pPr>
      <w:r w:rsidDel="00000000" w:rsidR="00000000" w:rsidRPr="00000000">
        <w:rPr>
          <w:rtl w:val="0"/>
        </w:rPr>
        <w:t xml:space="preserve">Trust has emerged as a critical, multifaceted factor influencing digital health adoption. Higher trust correlates with increased usage, while perceived risks, privacy concerns, and questions about data quality can undermine adoption (Alhassan et al., 2025; Belfrage, 2022; Alrawad et al., 2023; Syed et al., 2024). Conversely, transparency, positive user experiences, and perceived usefulness help foster trust (Wanner et al., 2022). Despite this, research has shown that trust is often poorly conceptualised or measured in the literature. Many studies lack validated instruments to reliably assess or build trust in digital health technologies (Marra et al., 2024).</w:t>
      </w:r>
    </w:p>
    <w:p w:rsidR="00000000" w:rsidDel="00000000" w:rsidP="00000000" w:rsidRDefault="00000000" w:rsidRPr="00000000" w14:paraId="00000160">
      <w:pPr>
        <w:spacing w:after="240" w:before="240" w:lineRule="auto"/>
        <w:jc w:val="both"/>
        <w:rPr/>
      </w:pPr>
      <w:r w:rsidDel="00000000" w:rsidR="00000000" w:rsidRPr="00000000">
        <w:rPr>
          <w:rtl w:val="0"/>
        </w:rPr>
        <w:t xml:space="preserve">From an entrepreneurial perspective, integrating technology into healthcare offers both significant opportunities and unique challenges (Kulkov et al., 2023). While innovation enables new approaches to preventive care, the absence of traditional institutional backing often leaves entrepreneurs navigating ambiguity—particularly in proving credibility and safety (Javanmardi et al., 2024). As noted by de Vasconcelos Gomes et al. (2023), there is a notable gap in the literature regarding holistic frameworks that guide innovators in overcoming barriers and creating sustained value in healthcare.</w:t>
      </w:r>
    </w:p>
    <w:p w:rsidR="00000000" w:rsidDel="00000000" w:rsidP="00000000" w:rsidRDefault="00000000" w:rsidRPr="00000000" w14:paraId="00000161">
      <w:pPr>
        <w:spacing w:after="240" w:before="240" w:lineRule="auto"/>
        <w:jc w:val="both"/>
        <w:rPr/>
      </w:pPr>
      <w:r w:rsidDel="00000000" w:rsidR="00000000" w:rsidRPr="00000000">
        <w:rPr>
          <w:rtl w:val="0"/>
        </w:rPr>
        <w:t xml:space="preserve">At the intersection of these issues lies a critical void: few empirical frameworks explain how credibility, risk perception, and behavioural intention interact and evolve over time in unregulated or semi-regulated wellness markets (Kulkov et al., 2023; Zahlan et al., 2023; Swain et al., 2024). Without this understanding, entrepreneurs face significant difficulty in building credible, user-centred wellness technologies. Traditional models such as the Technology Acceptance Model (TAM) and Theory of Reasoned Action (TRA) provide valuable insights—but they were designed for structured, institutional contexts and fall short in explaining user behaviour in decentralised, consumer-led environments (Zin et al., 2023; Omar et al., 2023; Ahmad et al., 2020; Kalayou et al., 2020).</w:t>
      </w:r>
    </w:p>
    <w:p w:rsidR="00000000" w:rsidDel="00000000" w:rsidP="00000000" w:rsidRDefault="00000000" w:rsidRPr="00000000" w14:paraId="00000162">
      <w:pPr>
        <w:spacing w:after="240" w:before="240" w:lineRule="auto"/>
        <w:jc w:val="both"/>
        <w:rPr/>
      </w:pPr>
      <w:r w:rsidDel="00000000" w:rsidR="00000000" w:rsidRPr="00000000">
        <w:rPr>
          <w:rtl w:val="0"/>
        </w:rPr>
        <w:t xml:space="preserve">This gap necessitates the development of updated frameworks that account for the dynamics of trust-building, behavioural intention, and actual technology use in the absence of institutional validation. In response, this study introduces and tests the Wellness Trust Lifecycle⁺ (W-TLC+): a conceptual model designed to bridge this gap by identifying key trust drivers and decision-making pathways in the adoption of wellness technologies.</w:t>
      </w:r>
    </w:p>
    <w:p w:rsidR="00000000" w:rsidDel="00000000" w:rsidP="00000000" w:rsidRDefault="00000000" w:rsidRPr="00000000" w14:paraId="00000163">
      <w:pPr>
        <w:spacing w:after="240" w:before="240" w:lineRule="auto"/>
        <w:jc w:val="both"/>
        <w:rPr/>
      </w:pPr>
      <w:r w:rsidDel="00000000" w:rsidR="00000000" w:rsidRPr="00000000">
        <w:rPr>
          <w:rtl w:val="0"/>
        </w:rPr>
        <w:t xml:space="preserve">Based on this, the objectives of this research are:</w:t>
      </w:r>
    </w:p>
    <w:p w:rsidR="00000000" w:rsidDel="00000000" w:rsidP="00000000" w:rsidRDefault="00000000" w:rsidRPr="00000000" w14:paraId="00000164">
      <w:pPr>
        <w:numPr>
          <w:ilvl w:val="0"/>
          <w:numId w:val="37"/>
        </w:numPr>
        <w:spacing w:after="0" w:afterAutospacing="0" w:before="240" w:lineRule="auto"/>
        <w:ind w:left="720" w:hanging="360"/>
        <w:rPr/>
      </w:pPr>
      <w:r w:rsidDel="00000000" w:rsidR="00000000" w:rsidRPr="00000000">
        <w:rPr>
          <w:rtl w:val="0"/>
        </w:rPr>
        <w:t xml:space="preserve">To validate antecedents and consequences of actual technology use in wellness contexts</w:t>
        <w:br w:type="textWrapping"/>
      </w:r>
    </w:p>
    <w:p w:rsidR="00000000" w:rsidDel="00000000" w:rsidP="00000000" w:rsidRDefault="00000000" w:rsidRPr="00000000" w14:paraId="00000165">
      <w:pPr>
        <w:numPr>
          <w:ilvl w:val="0"/>
          <w:numId w:val="37"/>
        </w:numPr>
        <w:spacing w:after="0" w:afterAutospacing="0" w:before="0" w:beforeAutospacing="0" w:lineRule="auto"/>
        <w:ind w:left="720" w:hanging="360"/>
        <w:rPr/>
      </w:pPr>
      <w:r w:rsidDel="00000000" w:rsidR="00000000" w:rsidRPr="00000000">
        <w:rPr>
          <w:rtl w:val="0"/>
        </w:rPr>
        <w:t xml:space="preserve">To examine the impact of independent variables (IDVs) on actual use</w:t>
        <w:br w:type="textWrapping"/>
      </w:r>
    </w:p>
    <w:p w:rsidR="00000000" w:rsidDel="00000000" w:rsidP="00000000" w:rsidRDefault="00000000" w:rsidRPr="00000000" w14:paraId="00000166">
      <w:pPr>
        <w:numPr>
          <w:ilvl w:val="0"/>
          <w:numId w:val="37"/>
        </w:numPr>
        <w:spacing w:after="240" w:before="0" w:beforeAutospacing="0" w:lineRule="auto"/>
        <w:ind w:left="720" w:hanging="360"/>
        <w:rPr/>
      </w:pPr>
      <w:r w:rsidDel="00000000" w:rsidR="00000000" w:rsidRPr="00000000">
        <w:rPr>
          <w:rtl w:val="0"/>
        </w:rPr>
        <w:t xml:space="preserve">To explore the non-linear and combinatorial effects influencing wellness technology adoption</w:t>
        <w:br w:type="textWrapping"/>
      </w:r>
    </w:p>
    <w:p w:rsidR="00000000" w:rsidDel="00000000" w:rsidP="00000000" w:rsidRDefault="00000000" w:rsidRPr="00000000" w14:paraId="00000167">
      <w:pPr>
        <w:spacing w:after="240" w:before="240" w:lineRule="auto"/>
        <w:jc w:val="both"/>
        <w:rPr/>
      </w:pPr>
      <w:r w:rsidDel="00000000" w:rsidR="00000000" w:rsidRPr="00000000">
        <w:rPr>
          <w:rtl w:val="0"/>
        </w:rPr>
        <w:t xml:space="preserve">Achieving these objectives can contribute to improved health outcomes, stronger consumer engagement, and the development of more durable, consumer-led healthcare frameworks.</w:t>
      </w:r>
      <w:r w:rsidDel="00000000" w:rsidR="00000000" w:rsidRPr="00000000">
        <w:rPr>
          <w:rtl w:val="0"/>
        </w:rPr>
      </w:r>
    </w:p>
    <w:p w:rsidR="00000000" w:rsidDel="00000000" w:rsidP="00000000" w:rsidRDefault="00000000" w:rsidRPr="00000000" w14:paraId="00000168">
      <w:pPr>
        <w:rPr>
          <w:b w:val="1"/>
          <w:highlight w:val="white"/>
        </w:rPr>
      </w:pPr>
      <w:r w:rsidDel="00000000" w:rsidR="00000000" w:rsidRPr="00000000">
        <w:rPr>
          <w:b w:val="1"/>
          <w:highlight w:val="white"/>
          <w:rtl w:val="0"/>
        </w:rPr>
        <w:t xml:space="preserve">1.6 Purpose of Research</w:t>
      </w:r>
    </w:p>
    <w:p w:rsidR="00000000" w:rsidDel="00000000" w:rsidP="00000000" w:rsidRDefault="00000000" w:rsidRPr="00000000" w14:paraId="00000169">
      <w:pPr>
        <w:spacing w:after="240" w:before="240" w:lineRule="auto"/>
        <w:jc w:val="both"/>
        <w:rPr>
          <w:highlight w:val="white"/>
        </w:rPr>
      </w:pPr>
      <w:r w:rsidDel="00000000" w:rsidR="00000000" w:rsidRPr="00000000">
        <w:rPr>
          <w:highlight w:val="white"/>
          <w:rtl w:val="0"/>
        </w:rPr>
        <w:t xml:space="preserve">The purpose of this study is to develop and empirically validate a multidimensional framework to explain consumer adoption behaviour in the context of digital healthcare technologies. As healthcare delivery continues its shift from institution-centric models to consumer-driven ecosystems, existing models—such as the Technology Acceptance Model (TAM) and the Theory of Reasoned Action (TRA)—fall short in explaining user decision-making in environments lacking traditional guarantees of trust, regulation, and credibility.</w:t>
      </w:r>
    </w:p>
    <w:p w:rsidR="00000000" w:rsidDel="00000000" w:rsidP="00000000" w:rsidRDefault="00000000" w:rsidRPr="00000000" w14:paraId="0000016A">
      <w:pPr>
        <w:spacing w:after="240" w:before="240" w:lineRule="auto"/>
        <w:jc w:val="both"/>
        <w:rPr>
          <w:highlight w:val="white"/>
        </w:rPr>
      </w:pPr>
      <w:r w:rsidDel="00000000" w:rsidR="00000000" w:rsidRPr="00000000">
        <w:rPr>
          <w:highlight w:val="white"/>
          <w:rtl w:val="0"/>
        </w:rPr>
        <w:t xml:space="preserve">To address this gap in both theoretical understanding and practical application, this research introduces the Wellness Trust Lifecycle⁺ (W-TLC+): a trust-first adoption model that expands on classical frameworks by incorporating technology credibility (TC), perceived risk (PR), health motivation (HM), and personal innovativeness (PI). These variables are positioned as critical antecedents to behavioural intention (BI) and actual use of technology (AUT) in the decentralised, often unregulated digital wellness market.</w:t>
      </w:r>
    </w:p>
    <w:p w:rsidR="00000000" w:rsidDel="00000000" w:rsidP="00000000" w:rsidRDefault="00000000" w:rsidRPr="00000000" w14:paraId="0000016B">
      <w:pPr>
        <w:spacing w:after="240" w:before="240" w:lineRule="auto"/>
        <w:jc w:val="both"/>
        <w:rPr>
          <w:highlight w:val="white"/>
        </w:rPr>
      </w:pPr>
      <w:r w:rsidDel="00000000" w:rsidR="00000000" w:rsidRPr="00000000">
        <w:rPr>
          <w:highlight w:val="white"/>
          <w:rtl w:val="0"/>
        </w:rPr>
        <w:t xml:space="preserve">The study further examines the impact of key cognitive appraisals—including performance expectancy and effort expectancy—as determinants of social influence (SI) and technology credibility (TC) in digital health environments (Fedorko et al., 2023; Hutabarat et al., 2021; Al-Kfairy et al., 2024). In addition, it evaluates how individual characteristics such as health motivation and personal innovativeness influence trust formation in the absence of institutional oversight.</w:t>
      </w:r>
    </w:p>
    <w:p w:rsidR="00000000" w:rsidDel="00000000" w:rsidP="00000000" w:rsidRDefault="00000000" w:rsidRPr="00000000" w14:paraId="0000016C">
      <w:pPr>
        <w:spacing w:after="240" w:before="240" w:lineRule="auto"/>
        <w:jc w:val="both"/>
        <w:rPr>
          <w:highlight w:val="white"/>
        </w:rPr>
      </w:pPr>
      <w:r w:rsidDel="00000000" w:rsidR="00000000" w:rsidRPr="00000000">
        <w:rPr>
          <w:highlight w:val="white"/>
          <w:rtl w:val="0"/>
        </w:rPr>
        <w:t xml:space="preserve">This user-oriented model reflects the diverse realities of modern digital health users—from younger individuals pursuing optimisation and performance, to older adults managing chronic conditions. By grounding its variables in real-world dynamics such as perceived credibility and risk, the study aims to provide actionable insights for entrepreneurs, designers, and health innovators operating in emerging and fast-moving markets.</w:t>
      </w:r>
    </w:p>
    <w:p w:rsidR="00000000" w:rsidDel="00000000" w:rsidP="00000000" w:rsidRDefault="00000000" w:rsidRPr="00000000" w14:paraId="0000016D">
      <w:pPr>
        <w:rPr>
          <w:b w:val="1"/>
          <w:highlight w:val="white"/>
        </w:rPr>
      </w:pPr>
      <w:r w:rsidDel="00000000" w:rsidR="00000000" w:rsidRPr="00000000">
        <w:rPr>
          <w:b w:val="1"/>
          <w:highlight w:val="white"/>
          <w:rtl w:val="0"/>
        </w:rPr>
        <w:t xml:space="preserve">1.7 Significance of the Study:</w:t>
      </w:r>
    </w:p>
    <w:p w:rsidR="00000000" w:rsidDel="00000000" w:rsidP="00000000" w:rsidRDefault="00000000" w:rsidRPr="00000000" w14:paraId="0000016E">
      <w:pPr>
        <w:spacing w:after="240" w:before="240" w:lineRule="auto"/>
        <w:jc w:val="both"/>
        <w:rPr/>
      </w:pPr>
      <w:r w:rsidDel="00000000" w:rsidR="00000000" w:rsidRPr="00000000">
        <w:rPr>
          <w:rtl w:val="0"/>
        </w:rPr>
        <w:t xml:space="preserve">This research is significant across conceptual, empirical, technological, entrepreneurial, and policy dimensions, driven by the rapid convergence of healthcare, digital innovation, and consumer empowerment.</w:t>
      </w:r>
    </w:p>
    <w:p w:rsidR="00000000" w:rsidDel="00000000" w:rsidP="00000000" w:rsidRDefault="00000000" w:rsidRPr="00000000" w14:paraId="0000016F">
      <w:pPr>
        <w:spacing w:after="240" w:before="240" w:lineRule="auto"/>
        <w:jc w:val="both"/>
        <w:rPr/>
      </w:pPr>
      <w:r w:rsidDel="00000000" w:rsidR="00000000" w:rsidRPr="00000000">
        <w:rPr>
          <w:rtl w:val="0"/>
        </w:rPr>
        <w:t xml:space="preserve">Traditional frameworks such as the Technology Acceptance Model (TAM) and the Theory of Reasoned Action (TRA) emerged in highly regulated, institutional environments. As a result, they overlook several critical factors that drive adoption in today’s decentralised, consumer-facing digital health landscape. Key dimensions such as technology credibility, risk perception, and health motivation are often excluded—despite their substantial influence on trust and behavioural intention in self-managed care contexts.</w:t>
      </w:r>
    </w:p>
    <w:p w:rsidR="00000000" w:rsidDel="00000000" w:rsidP="00000000" w:rsidRDefault="00000000" w:rsidRPr="00000000" w14:paraId="00000170">
      <w:pPr>
        <w:spacing w:after="240" w:before="240" w:lineRule="auto"/>
        <w:jc w:val="both"/>
        <w:rPr/>
      </w:pPr>
      <w:r w:rsidDel="00000000" w:rsidR="00000000" w:rsidRPr="00000000">
        <w:rPr>
          <w:rtl w:val="0"/>
        </w:rPr>
        <w:t xml:space="preserve">By incorporating these dimensions, the present study contributes to both the extension and contextual adaptation of traditional adoption models. It introduces a more relevant, multidimensional approach tailored to the realities of unregulated or semi-regulated wellness ecosystems.</w:t>
      </w:r>
    </w:p>
    <w:p w:rsidR="00000000" w:rsidDel="00000000" w:rsidP="00000000" w:rsidRDefault="00000000" w:rsidRPr="00000000" w14:paraId="00000171">
      <w:pPr>
        <w:spacing w:after="240" w:before="240" w:lineRule="auto"/>
        <w:jc w:val="both"/>
        <w:rPr/>
      </w:pPr>
      <w:r w:rsidDel="00000000" w:rsidR="00000000" w:rsidRPr="00000000">
        <w:rPr>
          <w:rtl w:val="0"/>
        </w:rPr>
        <w:t xml:space="preserve">Existing literature on trust in digital health technologies remains fragmented and lacks a holistic framework. As Marra et al. (2024) note, most current models fail to capture a multidimensional view of trust. Research into how credibility and perceived risk shape adoption decisions in digital health remains limited, with much of the work instead focused on unrelated domains such as autonomous vehicles and urban air mobility (Kenesei et al., 2022; Yao et al., 2024). This study fills that gap by embedding these variables into an empirically testable model, designed specifically for consumer-facing digital wellness technologies.</w:t>
      </w:r>
    </w:p>
    <w:p w:rsidR="00000000" w:rsidDel="00000000" w:rsidP="00000000" w:rsidRDefault="00000000" w:rsidRPr="00000000" w14:paraId="00000172">
      <w:pPr>
        <w:spacing w:after="240" w:before="240" w:lineRule="auto"/>
        <w:jc w:val="both"/>
        <w:rPr/>
      </w:pPr>
      <w:r w:rsidDel="00000000" w:rsidR="00000000" w:rsidRPr="00000000">
        <w:rPr>
          <w:rtl w:val="0"/>
        </w:rPr>
        <w:t xml:space="preserve">For entrepreneurs in digital health, the challenge lies in proving credibility and building sustained user trust without relying on institutional validation. This study offers a practical roadmap—the Wellness Trust Lifecycle⁺ (W-TLC+)—to help innovators understand the psychological and behavioural dynamics behind user adoption. By identifying key antecedents of behavioural intention and actual use, the model informs the design of inclusive, age-agnostic, and engaging wellness solutions that are both trustworthy and effective.</w:t>
      </w:r>
    </w:p>
    <w:p w:rsidR="00000000" w:rsidDel="00000000" w:rsidP="00000000" w:rsidRDefault="00000000" w:rsidRPr="00000000" w14:paraId="00000173">
      <w:pPr>
        <w:spacing w:after="240" w:before="240" w:lineRule="auto"/>
        <w:jc w:val="both"/>
        <w:rPr/>
      </w:pPr>
      <w:r w:rsidDel="00000000" w:rsidR="00000000" w:rsidRPr="00000000">
        <w:rPr>
          <w:rtl w:val="0"/>
        </w:rPr>
        <w:t xml:space="preserve">At a policy level, the findings provide insight into how governance structures can adapt to digital-first realities. By understanding what fosters trust and sustained engagement in decentralised environments, policymakers can shape frameworks that balance innovation with accountability. This research contributes to evidence-based policy development by drawing clear connections between cognitive, motivational, and social influence factors, and actual usage behaviour—essential for promoting user-centred design, improving health outcomes, and creating long-term value in wellness ecosystems.</w:t>
      </w:r>
    </w:p>
    <w:p w:rsidR="00000000" w:rsidDel="00000000" w:rsidP="00000000" w:rsidRDefault="00000000" w:rsidRPr="00000000" w14:paraId="00000174">
      <w:pPr>
        <w:pStyle w:val="Heading3"/>
        <w:rPr/>
      </w:pPr>
      <w:r w:rsidDel="00000000" w:rsidR="00000000" w:rsidRPr="00000000">
        <w:rPr>
          <w:b w:val="1"/>
          <w:sz w:val="24"/>
          <w:szCs w:val="24"/>
          <w:rtl w:val="0"/>
        </w:rPr>
        <w:t xml:space="preserve">1.8 Research Purpose, Guiding Questions, and Scholarly Contribution</w:t>
      </w:r>
      <w:r w:rsidDel="00000000" w:rsidR="00000000" w:rsidRPr="00000000">
        <w:rPr>
          <w:rtl w:val="0"/>
        </w:rPr>
      </w:r>
    </w:p>
    <w:p w:rsidR="00000000" w:rsidDel="00000000" w:rsidP="00000000" w:rsidRDefault="00000000" w:rsidRPr="00000000" w14:paraId="00000175">
      <w:pPr>
        <w:spacing w:after="240" w:before="240" w:lineRule="auto"/>
        <w:jc w:val="both"/>
        <w:rPr/>
      </w:pPr>
      <w:r w:rsidDel="00000000" w:rsidR="00000000" w:rsidRPr="00000000">
        <w:rPr>
          <w:rtl w:val="0"/>
        </w:rPr>
        <w:t xml:space="preserve">The primary purpose of this study is to develop and empirically validate a comprehensive, multidimensional framework that explains the behavioural dynamics behind consumer adoption of preventive digital healthcare technologies—particularly within decentralised, unregulated, or semi-regulated wellness markets. As healthcare models shift under pressure from consumer expectations, aging populations, and the rising costs of chronic disease management (Yu et al., 2023; Junaid et al., 2022), there is an urgent need to revisit and extend existing theoretical models and entrepreneurial strategies. This study builds on the Technology Acceptance Model (TAM) by incorporating additional constructs—technology credibility, perceived risk, health motivation, and personal innovativeness—which are central to understanding trust and adoption in today’s fragmented, consumer-led health environment.</w:t>
      </w:r>
    </w:p>
    <w:p w:rsidR="00000000" w:rsidDel="00000000" w:rsidP="00000000" w:rsidRDefault="00000000" w:rsidRPr="00000000" w14:paraId="00000176">
      <w:pPr>
        <w:spacing w:after="240" w:before="240" w:lineRule="auto"/>
        <w:jc w:val="both"/>
        <w:rPr/>
      </w:pPr>
      <w:r w:rsidDel="00000000" w:rsidR="00000000" w:rsidRPr="00000000">
        <w:rPr>
          <w:rtl w:val="0"/>
        </w:rPr>
        <w:t xml:space="preserve">Recognising the shift from provider-centric to user-centric care, the model addresses how individuals manage their health through wearables, mobile applications, and AI-enabled platforms (Hazra and Bora, 2025; Oyeniyi, 2024; Nguyen et al., 2023). In such settings, institutional trust is often absent, replaced by data-based credibility and product experience. This demands a reconceptualisation of how trust is formed and sustained without traditional clinical oversight (Adeghe et al., 2024; Shajari et al., 2023). The study examines how consumer perceptions—particularly performance expectancy, effort expectancy, perceived risk, and credibility—interact with individual motivation and social influence to shape both behavioural intention (BI) and actual use of technology (AUT).</w:t>
      </w:r>
    </w:p>
    <w:p w:rsidR="00000000" w:rsidDel="00000000" w:rsidP="00000000" w:rsidRDefault="00000000" w:rsidRPr="00000000" w14:paraId="00000177">
      <w:pPr>
        <w:spacing w:after="240" w:before="240" w:lineRule="auto"/>
        <w:jc w:val="both"/>
        <w:rPr/>
      </w:pPr>
      <w:r w:rsidDel="00000000" w:rsidR="00000000" w:rsidRPr="00000000">
        <w:rPr>
          <w:rtl w:val="0"/>
        </w:rPr>
        <w:t xml:space="preserve">The research is guided by a series of interrelated questions:</w:t>
      </w:r>
    </w:p>
    <w:p w:rsidR="00000000" w:rsidDel="00000000" w:rsidP="00000000" w:rsidRDefault="00000000" w:rsidRPr="00000000" w14:paraId="00000178">
      <w:pPr>
        <w:numPr>
          <w:ilvl w:val="0"/>
          <w:numId w:val="27"/>
        </w:numPr>
        <w:spacing w:after="240" w:before="240" w:lineRule="auto"/>
        <w:ind w:left="720" w:hanging="360"/>
        <w:rPr/>
      </w:pPr>
      <w:r w:rsidDel="00000000" w:rsidR="00000000" w:rsidRPr="00000000">
        <w:rPr>
          <w:rtl w:val="0"/>
        </w:rPr>
        <w:t xml:space="preserve">Which factors most strongly influence consumer adoption and sustained use of preventive health technologies?</w:t>
        <w:br w:type="textWrapping"/>
      </w:r>
    </w:p>
    <w:p w:rsidR="00000000" w:rsidDel="00000000" w:rsidP="00000000" w:rsidRDefault="00000000" w:rsidRPr="00000000" w14:paraId="00000179">
      <w:pPr>
        <w:spacing w:after="240" w:before="240" w:lineRule="auto"/>
        <w:ind w:left="720" w:firstLine="0"/>
        <w:rPr/>
      </w:pPr>
      <w:r w:rsidDel="00000000" w:rsidR="00000000" w:rsidRPr="00000000">
        <w:rPr>
          <w:rtl w:val="0"/>
        </w:rPr>
        <w:t xml:space="preserve">This includes exploring how consumers interpret utility and usability, and how those interpretations are shaped by cognitive beliefs, motivations, and trust mechanisms.</w:t>
        <w:br w:type="textWrapping"/>
      </w:r>
    </w:p>
    <w:p w:rsidR="00000000" w:rsidDel="00000000" w:rsidP="00000000" w:rsidRDefault="00000000" w:rsidRPr="00000000" w14:paraId="0000017A">
      <w:pPr>
        <w:numPr>
          <w:ilvl w:val="0"/>
          <w:numId w:val="27"/>
        </w:numPr>
        <w:spacing w:after="240" w:before="240" w:lineRule="auto"/>
        <w:ind w:left="720" w:hanging="360"/>
        <w:rPr/>
      </w:pPr>
      <w:r w:rsidDel="00000000" w:rsidR="00000000" w:rsidRPr="00000000">
        <w:rPr>
          <w:rtl w:val="0"/>
        </w:rPr>
        <w:t xml:space="preserve">Which entrepreneurial strategies are most effective for overcoming regulatory and market-entry barriers in the at-home digital health sector?</w:t>
        <w:br w:type="textWrapping"/>
        <w:t xml:space="preserve"> </w:t>
      </w:r>
    </w:p>
    <w:p w:rsidR="00000000" w:rsidDel="00000000" w:rsidP="00000000" w:rsidRDefault="00000000" w:rsidRPr="00000000" w14:paraId="0000017B">
      <w:pPr>
        <w:spacing w:after="240" w:before="240" w:lineRule="auto"/>
        <w:ind w:left="720" w:firstLine="0"/>
        <w:rPr/>
      </w:pPr>
      <w:r w:rsidDel="00000000" w:rsidR="00000000" w:rsidRPr="00000000">
        <w:rPr>
          <w:rtl w:val="0"/>
        </w:rPr>
        <w:t xml:space="preserve">With startups proliferating in this space, the study evaluates which design and validation practices enhance credibility, user retention, and scalability.</w:t>
        <w:br w:type="textWrapping"/>
      </w:r>
    </w:p>
    <w:p w:rsidR="00000000" w:rsidDel="00000000" w:rsidP="00000000" w:rsidRDefault="00000000" w:rsidRPr="00000000" w14:paraId="0000017C">
      <w:pPr>
        <w:numPr>
          <w:ilvl w:val="0"/>
          <w:numId w:val="27"/>
        </w:numPr>
        <w:spacing w:after="240" w:before="240" w:lineRule="auto"/>
        <w:ind w:left="720" w:hanging="360"/>
        <w:rPr/>
      </w:pPr>
      <w:r w:rsidDel="00000000" w:rsidR="00000000" w:rsidRPr="00000000">
        <w:rPr>
          <w:rtl w:val="0"/>
        </w:rPr>
        <w:t xml:space="preserve">How can entrepreneurs balance regulatory compliance with consumer satisfaction when building preventive wellness solutions?</w:t>
        <w:br w:type="textWrapping"/>
        <w:t xml:space="preserve"> </w:t>
      </w:r>
    </w:p>
    <w:p w:rsidR="00000000" w:rsidDel="00000000" w:rsidP="00000000" w:rsidRDefault="00000000" w:rsidRPr="00000000" w14:paraId="0000017D">
      <w:pPr>
        <w:spacing w:after="240" w:before="240" w:lineRule="auto"/>
        <w:ind w:left="720" w:firstLine="0"/>
        <w:rPr/>
      </w:pPr>
      <w:r w:rsidDel="00000000" w:rsidR="00000000" w:rsidRPr="00000000">
        <w:rPr>
          <w:rtl w:val="0"/>
        </w:rPr>
        <w:t xml:space="preserve">In loosely regulated markets, this trade-off becomes central to both user experience and product legitimacy.</w:t>
        <w:br w:type="textWrapping"/>
      </w:r>
    </w:p>
    <w:p w:rsidR="00000000" w:rsidDel="00000000" w:rsidP="00000000" w:rsidRDefault="00000000" w:rsidRPr="00000000" w14:paraId="0000017E">
      <w:pPr>
        <w:numPr>
          <w:ilvl w:val="0"/>
          <w:numId w:val="27"/>
        </w:numPr>
        <w:spacing w:after="240" w:before="240" w:lineRule="auto"/>
        <w:ind w:left="720" w:hanging="360"/>
        <w:rPr/>
      </w:pPr>
      <w:r w:rsidDel="00000000" w:rsidR="00000000" w:rsidRPr="00000000">
        <w:rPr>
          <w:rtl w:val="0"/>
        </w:rPr>
        <w:t xml:space="preserve">Which business models support long-term scalability, sustainability, and consumer engagement?</w:t>
        <w:br w:type="textWrapping"/>
        <w:t xml:space="preserve"> </w:t>
      </w:r>
    </w:p>
    <w:p w:rsidR="00000000" w:rsidDel="00000000" w:rsidP="00000000" w:rsidRDefault="00000000" w:rsidRPr="00000000" w14:paraId="0000017F">
      <w:pPr>
        <w:spacing w:after="240" w:before="240" w:lineRule="auto"/>
        <w:ind w:left="720" w:firstLine="0"/>
        <w:rPr/>
      </w:pPr>
      <w:r w:rsidDel="00000000" w:rsidR="00000000" w:rsidRPr="00000000">
        <w:rPr>
          <w:rtl w:val="0"/>
        </w:rPr>
        <w:t xml:space="preserve">The research evaluates operational strategies that align with inclusion, affordability, and measurable health outcomes.</w:t>
        <w:br w:type="textWrapping"/>
      </w:r>
    </w:p>
    <w:p w:rsidR="00000000" w:rsidDel="00000000" w:rsidP="00000000" w:rsidRDefault="00000000" w:rsidRPr="00000000" w14:paraId="00000180">
      <w:pPr>
        <w:spacing w:after="240" w:before="240" w:lineRule="auto"/>
        <w:jc w:val="both"/>
        <w:rPr/>
      </w:pPr>
      <w:r w:rsidDel="00000000" w:rsidR="00000000" w:rsidRPr="00000000">
        <w:rPr>
          <w:rtl w:val="0"/>
        </w:rPr>
        <w:t xml:space="preserve">In answering these questions, the study contributes to multiple domains—theoretical, empirical, technological, entrepreneurial, and policy. Conceptually, it addresses a gap in the literature: while TAM and TRA are foundational, they are not designed for the complexity of consumer-facing, decentralised digital health environments. The integration of credibility and perceived risk provides a much-needed extension that reflects real-world user behaviour.</w:t>
      </w:r>
    </w:p>
    <w:p w:rsidR="00000000" w:rsidDel="00000000" w:rsidP="00000000" w:rsidRDefault="00000000" w:rsidRPr="00000000" w14:paraId="00000181">
      <w:pPr>
        <w:spacing w:after="240" w:before="240" w:lineRule="auto"/>
        <w:jc w:val="both"/>
        <w:rPr/>
      </w:pPr>
      <w:r w:rsidDel="00000000" w:rsidR="00000000" w:rsidRPr="00000000">
        <w:rPr>
          <w:rtl w:val="0"/>
        </w:rPr>
        <w:t xml:space="preserve">Empirically, the study introduces the Wellness Trust Lifecycle⁺ (W-TLC⁺)—a trust-first adoption model grounded in validated constructs. It offers researchers, designers, and entrepreneurs a framework for identifying trust gaps, predicting adoption, and designing effective interventions. The model draws from established research in digital trust, innovation diffusion, and consumer psychology, but adapts these theories for the unique challenges of preventive wellness technology.</w:t>
      </w:r>
    </w:p>
    <w:p w:rsidR="00000000" w:rsidDel="00000000" w:rsidP="00000000" w:rsidRDefault="00000000" w:rsidRPr="00000000" w14:paraId="00000182">
      <w:pPr>
        <w:spacing w:after="240" w:before="240" w:lineRule="auto"/>
        <w:jc w:val="both"/>
        <w:rPr/>
      </w:pPr>
      <w:r w:rsidDel="00000000" w:rsidR="00000000" w:rsidRPr="00000000">
        <w:rPr>
          <w:rtl w:val="0"/>
        </w:rPr>
        <w:t xml:space="preserve">Technologically, the research aligns with innovations in AI-driven diagnostics, VR-based rehabilitation, photobiomodulation, and mobile-enabled recovery platforms. Yet, as the findings reinforce, technology alone does not guarantee adoption. Psychological, behavioural, and cultural dynamics must be accounted for—especially in underrepresented or high-risk populations.</w:t>
      </w:r>
    </w:p>
    <w:p w:rsidR="00000000" w:rsidDel="00000000" w:rsidP="00000000" w:rsidRDefault="00000000" w:rsidRPr="00000000" w14:paraId="00000183">
      <w:pPr>
        <w:spacing w:after="240" w:before="240" w:lineRule="auto"/>
        <w:jc w:val="both"/>
        <w:rPr/>
      </w:pPr>
      <w:r w:rsidDel="00000000" w:rsidR="00000000" w:rsidRPr="00000000">
        <w:rPr>
          <w:rtl w:val="0"/>
        </w:rPr>
        <w:t xml:space="preserve">For entrepreneurs, this research presents a practical blueprint—from concept development to scaling. It emphasises the importance of credible design, behaviourally anchored UX, and long-term user engagement that leads to satisfaction, retention, and measurable outcomes. Startups and innovators are encouraged to create health solutions that are not only scalable and evidence-based, but also intuitive, trustworthy, and inclusive across age and socioeconomic boundaries.</w:t>
      </w:r>
    </w:p>
    <w:p w:rsidR="00000000" w:rsidDel="00000000" w:rsidP="00000000" w:rsidRDefault="00000000" w:rsidRPr="00000000" w14:paraId="00000184">
      <w:pPr>
        <w:spacing w:after="240" w:before="240" w:lineRule="auto"/>
        <w:jc w:val="both"/>
        <w:rPr/>
      </w:pPr>
      <w:r w:rsidDel="00000000" w:rsidR="00000000" w:rsidRPr="00000000">
        <w:rPr>
          <w:rtl w:val="0"/>
        </w:rPr>
        <w:t xml:space="preserve">From a policy perspective, the study’s findings can inform more adaptive and enabling regulatory frameworks. By illuminating how trust forms in decentralised markets, it offers evidence to help strike a balance between user protection and innovation enablement.</w:t>
      </w:r>
    </w:p>
    <w:p w:rsidR="00000000" w:rsidDel="00000000" w:rsidP="00000000" w:rsidRDefault="00000000" w:rsidRPr="00000000" w14:paraId="00000185">
      <w:pPr>
        <w:spacing w:after="240" w:before="240" w:lineRule="auto"/>
        <w:jc w:val="both"/>
        <w:rPr/>
      </w:pPr>
      <w:r w:rsidDel="00000000" w:rsidR="00000000" w:rsidRPr="00000000">
        <w:rPr>
          <w:rtl w:val="0"/>
        </w:rPr>
        <w:t xml:space="preserve">Ultimately, this research proposes that the future of health innovation is not only a matter of technology, but of reshaping health behaviour through credibility, empowerment, and trust. By merging behavioural science with entrepreneurial strategy, the thesis offers a vision for a more inclusive, participatory, and sustainable healthcare economy—where the future of health is not confined to hospitals and specialists, but embedded in daily life, everyday decisions, and trusted digital tools.</w:t>
      </w:r>
    </w:p>
    <w:p w:rsidR="00000000" w:rsidDel="00000000" w:rsidP="00000000" w:rsidRDefault="00000000" w:rsidRPr="00000000" w14:paraId="00000186">
      <w:pPr>
        <w:jc w:val="both"/>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jc w:val="center"/>
        <w:rPr/>
      </w:pPr>
      <w:r w:rsidDel="00000000" w:rsidR="00000000" w:rsidRPr="00000000">
        <w:rPr>
          <w:rtl w:val="0"/>
        </w:rPr>
      </w:r>
    </w:p>
    <w:p w:rsidR="00000000" w:rsidDel="00000000" w:rsidP="00000000" w:rsidRDefault="00000000" w:rsidRPr="00000000" w14:paraId="00000189">
      <w:pPr>
        <w:jc w:val="center"/>
        <w:rPr/>
      </w:pPr>
      <w:r w:rsidDel="00000000" w:rsidR="00000000" w:rsidRPr="00000000">
        <w:rPr>
          <w:rtl w:val="0"/>
        </w:rPr>
      </w:r>
    </w:p>
    <w:p w:rsidR="00000000" w:rsidDel="00000000" w:rsidP="00000000" w:rsidRDefault="00000000" w:rsidRPr="00000000" w14:paraId="0000018A">
      <w:pPr>
        <w:jc w:val="center"/>
        <w:rPr/>
      </w:pPr>
      <w:r w:rsidDel="00000000" w:rsidR="00000000" w:rsidRPr="00000000">
        <w:rPr>
          <w:rtl w:val="0"/>
        </w:rPr>
      </w:r>
    </w:p>
    <w:p w:rsidR="00000000" w:rsidDel="00000000" w:rsidP="00000000" w:rsidRDefault="00000000" w:rsidRPr="00000000" w14:paraId="0000018B">
      <w:pPr>
        <w:jc w:val="center"/>
        <w:rPr/>
      </w:pPr>
      <w:r w:rsidDel="00000000" w:rsidR="00000000" w:rsidRPr="00000000">
        <w:rPr>
          <w:rtl w:val="0"/>
        </w:rPr>
      </w:r>
    </w:p>
    <w:p w:rsidR="00000000" w:rsidDel="00000000" w:rsidP="00000000" w:rsidRDefault="00000000" w:rsidRPr="00000000" w14:paraId="0000018C">
      <w:pPr>
        <w:jc w:val="center"/>
        <w:rPr/>
      </w:pPr>
      <w:r w:rsidDel="00000000" w:rsidR="00000000" w:rsidRPr="00000000">
        <w:rPr>
          <w:rtl w:val="0"/>
        </w:rPr>
      </w:r>
    </w:p>
    <w:p w:rsidR="00000000" w:rsidDel="00000000" w:rsidP="00000000" w:rsidRDefault="00000000" w:rsidRPr="00000000" w14:paraId="0000018D">
      <w:pPr>
        <w:jc w:val="center"/>
        <w:rPr>
          <w:smallCaps w:val="1"/>
        </w:rPr>
      </w:pPr>
      <w:r w:rsidDel="00000000" w:rsidR="00000000" w:rsidRPr="00000000">
        <w:rPr>
          <w:rtl w:val="0"/>
        </w:rPr>
      </w:r>
    </w:p>
    <w:p w:rsidR="00000000" w:rsidDel="00000000" w:rsidP="00000000" w:rsidRDefault="00000000" w:rsidRPr="00000000" w14:paraId="0000018E">
      <w:pPr>
        <w:jc w:val="center"/>
        <w:rPr>
          <w:smallCaps w:val="1"/>
        </w:rPr>
      </w:pPr>
      <w:r w:rsidDel="00000000" w:rsidR="00000000" w:rsidRPr="00000000">
        <w:rPr>
          <w:rtl w:val="0"/>
        </w:rPr>
      </w:r>
    </w:p>
    <w:p w:rsidR="00000000" w:rsidDel="00000000" w:rsidP="00000000" w:rsidRDefault="00000000" w:rsidRPr="00000000" w14:paraId="0000018F">
      <w:pPr>
        <w:jc w:val="center"/>
        <w:rPr>
          <w:smallCaps w:val="1"/>
        </w:rPr>
      </w:pPr>
      <w:r w:rsidDel="00000000" w:rsidR="00000000" w:rsidRPr="00000000">
        <w:rPr>
          <w:rtl w:val="0"/>
        </w:rPr>
      </w:r>
    </w:p>
    <w:p w:rsidR="00000000" w:rsidDel="00000000" w:rsidP="00000000" w:rsidRDefault="00000000" w:rsidRPr="00000000" w14:paraId="00000190">
      <w:pPr>
        <w:jc w:val="center"/>
        <w:rPr>
          <w:smallCaps w:val="1"/>
        </w:rPr>
      </w:pPr>
      <w:r w:rsidDel="00000000" w:rsidR="00000000" w:rsidRPr="00000000">
        <w:rPr>
          <w:rtl w:val="0"/>
        </w:rPr>
      </w:r>
    </w:p>
    <w:p w:rsidR="00000000" w:rsidDel="00000000" w:rsidP="00000000" w:rsidRDefault="00000000" w:rsidRPr="00000000" w14:paraId="00000191">
      <w:pPr>
        <w:jc w:val="center"/>
        <w:rPr>
          <w:smallCaps w:val="1"/>
        </w:rPr>
      </w:pPr>
      <w:r w:rsidDel="00000000" w:rsidR="00000000" w:rsidRPr="00000000">
        <w:rPr>
          <w:rtl w:val="0"/>
        </w:rPr>
      </w:r>
    </w:p>
    <w:p w:rsidR="00000000" w:rsidDel="00000000" w:rsidP="00000000" w:rsidRDefault="00000000" w:rsidRPr="00000000" w14:paraId="00000192">
      <w:pPr>
        <w:jc w:val="center"/>
        <w:rPr>
          <w:smallCaps w:val="1"/>
        </w:rPr>
      </w:pPr>
      <w:r w:rsidDel="00000000" w:rsidR="00000000" w:rsidRPr="00000000">
        <w:rPr>
          <w:rtl w:val="0"/>
        </w:rPr>
      </w:r>
    </w:p>
    <w:p w:rsidR="00000000" w:rsidDel="00000000" w:rsidP="00000000" w:rsidRDefault="00000000" w:rsidRPr="00000000" w14:paraId="00000193">
      <w:pPr>
        <w:jc w:val="center"/>
        <w:rPr>
          <w:smallCaps w:val="1"/>
        </w:rPr>
      </w:pPr>
      <w:r w:rsidDel="00000000" w:rsidR="00000000" w:rsidRPr="00000000">
        <w:rPr>
          <w:rtl w:val="0"/>
        </w:rPr>
      </w:r>
    </w:p>
    <w:p w:rsidR="00000000" w:rsidDel="00000000" w:rsidP="00000000" w:rsidRDefault="00000000" w:rsidRPr="00000000" w14:paraId="00000194">
      <w:pPr>
        <w:jc w:val="center"/>
        <w:rPr>
          <w:smallCaps w:val="1"/>
        </w:rPr>
      </w:pPr>
      <w:r w:rsidDel="00000000" w:rsidR="00000000" w:rsidRPr="00000000">
        <w:rPr>
          <w:rtl w:val="0"/>
        </w:rPr>
      </w:r>
    </w:p>
    <w:p w:rsidR="00000000" w:rsidDel="00000000" w:rsidP="00000000" w:rsidRDefault="00000000" w:rsidRPr="00000000" w14:paraId="00000195">
      <w:pPr>
        <w:jc w:val="center"/>
        <w:rPr>
          <w:smallCaps w:val="1"/>
        </w:rPr>
      </w:pPr>
      <w:r w:rsidDel="00000000" w:rsidR="00000000" w:rsidRPr="00000000">
        <w:rPr>
          <w:rtl w:val="0"/>
        </w:rPr>
      </w:r>
    </w:p>
    <w:p w:rsidR="00000000" w:rsidDel="00000000" w:rsidP="00000000" w:rsidRDefault="00000000" w:rsidRPr="00000000" w14:paraId="00000196">
      <w:pPr>
        <w:jc w:val="center"/>
        <w:rPr>
          <w:smallCaps w:val="1"/>
        </w:rPr>
      </w:pPr>
      <w:r w:rsidDel="00000000" w:rsidR="00000000" w:rsidRPr="00000000">
        <w:rPr>
          <w:rtl w:val="0"/>
        </w:rPr>
      </w:r>
    </w:p>
    <w:p w:rsidR="00000000" w:rsidDel="00000000" w:rsidP="00000000" w:rsidRDefault="00000000" w:rsidRPr="00000000" w14:paraId="00000197">
      <w:pPr>
        <w:jc w:val="center"/>
        <w:rPr>
          <w:smallCaps w:val="1"/>
        </w:rPr>
      </w:pPr>
      <w:r w:rsidDel="00000000" w:rsidR="00000000" w:rsidRPr="00000000">
        <w:rPr>
          <w:rtl w:val="0"/>
        </w:rPr>
      </w:r>
    </w:p>
    <w:p w:rsidR="00000000" w:rsidDel="00000000" w:rsidP="00000000" w:rsidRDefault="00000000" w:rsidRPr="00000000" w14:paraId="00000198">
      <w:pPr>
        <w:jc w:val="center"/>
        <w:rPr>
          <w:smallCaps w:val="1"/>
        </w:rPr>
      </w:pPr>
      <w:r w:rsidDel="00000000" w:rsidR="00000000" w:rsidRPr="00000000">
        <w:rPr>
          <w:rtl w:val="0"/>
        </w:rPr>
      </w:r>
    </w:p>
    <w:p w:rsidR="00000000" w:rsidDel="00000000" w:rsidP="00000000" w:rsidRDefault="00000000" w:rsidRPr="00000000" w14:paraId="00000199">
      <w:pPr>
        <w:jc w:val="center"/>
        <w:rPr>
          <w:smallCaps w:val="1"/>
        </w:rPr>
      </w:pPr>
      <w:r w:rsidDel="00000000" w:rsidR="00000000" w:rsidRPr="00000000">
        <w:rPr>
          <w:rtl w:val="0"/>
        </w:rPr>
      </w:r>
    </w:p>
    <w:p w:rsidR="00000000" w:rsidDel="00000000" w:rsidP="00000000" w:rsidRDefault="00000000" w:rsidRPr="00000000" w14:paraId="0000019A">
      <w:pPr>
        <w:jc w:val="center"/>
        <w:rPr>
          <w:smallCaps w:val="1"/>
        </w:rPr>
      </w:pPr>
      <w:r w:rsidDel="00000000" w:rsidR="00000000" w:rsidRPr="00000000">
        <w:rPr>
          <w:rtl w:val="0"/>
        </w:rPr>
      </w:r>
    </w:p>
    <w:p w:rsidR="00000000" w:rsidDel="00000000" w:rsidP="00000000" w:rsidRDefault="00000000" w:rsidRPr="00000000" w14:paraId="0000019B">
      <w:pPr>
        <w:jc w:val="center"/>
        <w:rPr>
          <w:smallCaps w:val="1"/>
        </w:rPr>
      </w:pPr>
      <w:r w:rsidDel="00000000" w:rsidR="00000000" w:rsidRPr="00000000">
        <w:rPr>
          <w:rtl w:val="0"/>
        </w:rPr>
      </w:r>
    </w:p>
    <w:p w:rsidR="00000000" w:rsidDel="00000000" w:rsidP="00000000" w:rsidRDefault="00000000" w:rsidRPr="00000000" w14:paraId="0000019C">
      <w:pPr>
        <w:jc w:val="center"/>
        <w:rPr>
          <w:smallCaps w:val="1"/>
        </w:rPr>
      </w:pPr>
      <w:r w:rsidDel="00000000" w:rsidR="00000000" w:rsidRPr="00000000">
        <w:rPr>
          <w:rtl w:val="0"/>
        </w:rPr>
      </w:r>
    </w:p>
    <w:p w:rsidR="00000000" w:rsidDel="00000000" w:rsidP="00000000" w:rsidRDefault="00000000" w:rsidRPr="00000000" w14:paraId="0000019D">
      <w:pPr>
        <w:jc w:val="center"/>
        <w:rPr>
          <w:smallCaps w:val="1"/>
        </w:rPr>
      </w:pPr>
      <w:r w:rsidDel="00000000" w:rsidR="00000000" w:rsidRPr="00000000">
        <w:rPr>
          <w:rtl w:val="0"/>
        </w:rPr>
      </w:r>
    </w:p>
    <w:p w:rsidR="00000000" w:rsidDel="00000000" w:rsidP="00000000" w:rsidRDefault="00000000" w:rsidRPr="00000000" w14:paraId="0000019E">
      <w:pPr>
        <w:jc w:val="center"/>
        <w:rPr>
          <w:smallCaps w:val="1"/>
        </w:rPr>
      </w:pPr>
      <w:r w:rsidDel="00000000" w:rsidR="00000000" w:rsidRPr="00000000">
        <w:rPr>
          <w:rtl w:val="0"/>
        </w:rPr>
      </w:r>
    </w:p>
    <w:p w:rsidR="00000000" w:rsidDel="00000000" w:rsidP="00000000" w:rsidRDefault="00000000" w:rsidRPr="00000000" w14:paraId="0000019F">
      <w:pPr>
        <w:jc w:val="center"/>
        <w:rPr>
          <w:smallCaps w:val="1"/>
        </w:rPr>
      </w:pPr>
      <w:r w:rsidDel="00000000" w:rsidR="00000000" w:rsidRPr="00000000">
        <w:rPr>
          <w:rtl w:val="0"/>
        </w:rPr>
      </w:r>
    </w:p>
    <w:p w:rsidR="00000000" w:rsidDel="00000000" w:rsidP="00000000" w:rsidRDefault="00000000" w:rsidRPr="00000000" w14:paraId="000001A0">
      <w:pPr>
        <w:jc w:val="center"/>
        <w:rPr>
          <w:smallCaps w:val="1"/>
        </w:rPr>
      </w:pPr>
      <w:r w:rsidDel="00000000" w:rsidR="00000000" w:rsidRPr="00000000">
        <w:rPr>
          <w:rtl w:val="0"/>
        </w:rPr>
      </w:r>
    </w:p>
    <w:p w:rsidR="00000000" w:rsidDel="00000000" w:rsidP="00000000" w:rsidRDefault="00000000" w:rsidRPr="00000000" w14:paraId="000001A1">
      <w:pPr>
        <w:jc w:val="center"/>
        <w:rPr>
          <w:smallCaps w:val="1"/>
        </w:rPr>
      </w:pPr>
      <w:r w:rsidDel="00000000" w:rsidR="00000000" w:rsidRPr="00000000">
        <w:rPr>
          <w:rtl w:val="0"/>
        </w:rPr>
      </w:r>
    </w:p>
    <w:p w:rsidR="00000000" w:rsidDel="00000000" w:rsidP="00000000" w:rsidRDefault="00000000" w:rsidRPr="00000000" w14:paraId="000001A2">
      <w:pPr>
        <w:jc w:val="center"/>
        <w:rPr>
          <w:smallCaps w:val="1"/>
        </w:rPr>
      </w:pPr>
      <w:r w:rsidDel="00000000" w:rsidR="00000000" w:rsidRPr="00000000">
        <w:rPr>
          <w:rtl w:val="0"/>
        </w:rPr>
      </w:r>
    </w:p>
    <w:p w:rsidR="00000000" w:rsidDel="00000000" w:rsidP="00000000" w:rsidRDefault="00000000" w:rsidRPr="00000000" w14:paraId="000001A3">
      <w:pPr>
        <w:jc w:val="center"/>
        <w:rPr>
          <w:b w:val="1"/>
          <w:smallCaps w:val="1"/>
          <w:color w:val="0d0d0d"/>
          <w:highlight w:val="white"/>
        </w:rPr>
      </w:pPr>
      <w:r w:rsidDel="00000000" w:rsidR="00000000" w:rsidRPr="00000000">
        <w:rPr>
          <w:b w:val="1"/>
          <w:smallCaps w:val="1"/>
          <w:color w:val="0d0d0d"/>
          <w:highlight w:val="white"/>
          <w:rtl w:val="0"/>
        </w:rPr>
        <w:t xml:space="preserve">CHAPTER II:</w:t>
      </w:r>
    </w:p>
    <w:p w:rsidR="00000000" w:rsidDel="00000000" w:rsidP="00000000" w:rsidRDefault="00000000" w:rsidRPr="00000000" w14:paraId="000001A4">
      <w:pPr>
        <w:rPr>
          <w:b w:val="1"/>
          <w:smallCaps w:val="1"/>
          <w:color w:val="0d0d0d"/>
          <w:highlight w:val="white"/>
        </w:rPr>
      </w:pPr>
      <w:r w:rsidDel="00000000" w:rsidR="00000000" w:rsidRPr="00000000">
        <w:rPr>
          <w:b w:val="1"/>
          <w:smallCaps w:val="1"/>
          <w:color w:val="0d0d0d"/>
          <w:highlight w:val="white"/>
          <w:rtl w:val="0"/>
        </w:rPr>
        <w:t xml:space="preserve">LITERATURE REVIEW</w:t>
      </w:r>
    </w:p>
    <w:p w:rsidR="00000000" w:rsidDel="00000000" w:rsidP="00000000" w:rsidRDefault="00000000" w:rsidRPr="00000000" w14:paraId="000001A5">
      <w:pPr>
        <w:spacing w:after="240" w:before="240" w:lineRule="auto"/>
        <w:jc w:val="both"/>
        <w:rPr/>
      </w:pPr>
      <w:r w:rsidDel="00000000" w:rsidR="00000000" w:rsidRPr="00000000">
        <w:rPr>
          <w:rtl w:val="0"/>
        </w:rPr>
        <w:t xml:space="preserve">This chapter provides a critical synthesis of existing literature on preventive health technologies and consumer-facing digital health tools, with a specific focus on trust, adoption, and decentralized usage contexts. The goal is to identify key theoretical gaps and contextual limitations within current frameworks such as the Technology Acceptance Model (TAM), the Unified Theory of Acceptance and Use of Technology (UTAUT), and related behavioural models. These gaps informed the development of the conceptual framework introduced in this study and the identification of relevant variables for hypothesis testing.</w:t>
      </w:r>
    </w:p>
    <w:p w:rsidR="00000000" w:rsidDel="00000000" w:rsidP="00000000" w:rsidRDefault="00000000" w:rsidRPr="00000000" w14:paraId="000001A6">
      <w:pPr>
        <w:spacing w:after="240" w:before="240" w:lineRule="auto"/>
        <w:jc w:val="both"/>
        <w:rPr/>
      </w:pPr>
      <w:r w:rsidDel="00000000" w:rsidR="00000000" w:rsidRPr="00000000">
        <w:rPr>
          <w:rtl w:val="0"/>
        </w:rPr>
        <w:t xml:space="preserve">The literature was sourced through comprehensive searches across academic databases including Springer, Elsevier, Scopus, and Google Scholar. Search terms related to digital health, wellness technologies, user trust, behavioural intention, and innovation diffusion were employed using both Boolean and keyword-based strategies. To ensure thorough coverage, backward and forward citation tracking was also used to extend the review beyond primary results.</w:t>
      </w:r>
    </w:p>
    <w:p w:rsidR="00000000" w:rsidDel="00000000" w:rsidP="00000000" w:rsidRDefault="00000000" w:rsidRPr="00000000" w14:paraId="000001A7">
      <w:pPr>
        <w:rPr/>
      </w:pPr>
      <w:r w:rsidDel="00000000" w:rsidR="00000000" w:rsidRPr="00000000">
        <w:rPr>
          <w:b w:val="1"/>
          <w:rtl w:val="0"/>
        </w:rPr>
        <w:t xml:space="preserve">2.1 Regulatory and Market Landscape</w:t>
      </w:r>
      <w:r w:rsidDel="00000000" w:rsidR="00000000" w:rsidRPr="00000000">
        <w:rPr>
          <w:rtl w:val="0"/>
        </w:rPr>
      </w:r>
    </w:p>
    <w:p w:rsidR="00000000" w:rsidDel="00000000" w:rsidP="00000000" w:rsidRDefault="00000000" w:rsidRPr="00000000" w14:paraId="000001A8">
      <w:pPr>
        <w:spacing w:after="240" w:before="240" w:lineRule="auto"/>
        <w:jc w:val="both"/>
        <w:rPr/>
      </w:pPr>
      <w:r w:rsidDel="00000000" w:rsidR="00000000" w:rsidRPr="00000000">
        <w:rPr>
          <w:rtl w:val="0"/>
        </w:rPr>
        <w:t xml:space="preserve">Startups delivering at-home health technologies operate within complex and regionally distinct regulatory environments (Iqbal &amp; Biller-Andorno, 2022). In the United States, many wellness devices and health wearables must receive clearance from the Food and Drug Administration (FDA), particularly when they claim diagnostic or therapeutic use (FDA, 2023). Apple’s introduction of electrocardiogram (ECG) functionality in the Apple Watch Series 4 marked the first FDA 510(k)-cleared consumer wearable for ECG capabilities (Comstock, 2018). However, companies often avoid such regulatory hurdles by classifying features under the “general wellness” category. For example, Apple’s blood oxygen sensor is marketed as a wellness feature, not a clinical tool (Apple, 2024). Similarly, WHOOP identifies itself as a wellness tracker rather than a medical device (Chilingaryan, 2025).</w:t>
      </w:r>
    </w:p>
    <w:p w:rsidR="00000000" w:rsidDel="00000000" w:rsidP="00000000" w:rsidRDefault="00000000" w:rsidRPr="00000000" w14:paraId="000001A9">
      <w:pPr>
        <w:spacing w:after="240" w:before="240" w:lineRule="auto"/>
        <w:jc w:val="both"/>
        <w:rPr/>
      </w:pPr>
      <w:r w:rsidDel="00000000" w:rsidR="00000000" w:rsidRPr="00000000">
        <w:rPr>
          <w:rtl w:val="0"/>
        </w:rPr>
        <w:t xml:space="preserve">According to FDA guidance, products marketed for general wellness—not intended for diagnosis or treatment—are exempt from premarket clearance (Crobar, 2021). While this approach expedites market entry, it also restricts what companies can claim. Many health tech companies intentionally pursue this pathway, opting to avoid years of clinical testing (Köhler et al., 2024). However, for consumers, it can be difficult to differentiate between fully approved medical devices and unregulated wellness gadgets—particularly when marketing messages obscure those distinctions (Sifaoui &amp; Eastin, 2024). This ambiguity can lead to consumer skepticism and erode trust in product efficacy and legitimacy.</w:t>
      </w:r>
    </w:p>
    <w:p w:rsidR="00000000" w:rsidDel="00000000" w:rsidP="00000000" w:rsidRDefault="00000000" w:rsidRPr="00000000" w14:paraId="000001AA">
      <w:pPr>
        <w:spacing w:after="240" w:before="240" w:lineRule="auto"/>
        <w:jc w:val="both"/>
        <w:rPr/>
      </w:pPr>
      <w:r w:rsidDel="00000000" w:rsidR="00000000" w:rsidRPr="00000000">
        <w:rPr>
          <w:rtl w:val="0"/>
        </w:rPr>
        <w:t xml:space="preserve">In the European Union, regulations are governed by the Medical Device Regulation (MDR 2017/745), which mandates that all medical devices carry CE marking (European Union, 2017). Devices that assist healthcare professionals must meet stringent criteria for safety, clinical effectiveness, and post-market surveillance (Brönneke et al., 2021). Apple’s ECG feature, for instance, also had to meet MDR standards for EU distribution. However, many startups delay EU market entry or restrict marketing claims to avoid the high costs and complexity of clinical compliance (Rodriguez-Manzano et al., 2024). As a result, regulation becomes a central determinant of product development strategy and consumer trust (Chakraborty et al., 2023).</w:t>
      </w:r>
    </w:p>
    <w:p w:rsidR="00000000" w:rsidDel="00000000" w:rsidP="00000000" w:rsidRDefault="00000000" w:rsidRPr="00000000" w14:paraId="000001AB">
      <w:pPr>
        <w:spacing w:after="240" w:before="240" w:lineRule="auto"/>
        <w:jc w:val="both"/>
        <w:rPr/>
      </w:pPr>
      <w:r w:rsidDel="00000000" w:rsidR="00000000" w:rsidRPr="00000000">
        <w:rPr>
          <w:rtl w:val="0"/>
        </w:rPr>
        <w:t xml:space="preserve">Privacy regulation adds another critical layer. In the U.S., consumer health data is governed by the Health Insurance Portability and Accountability Act (HIPAA). However, many direct-to-consumer wellness companies fall outside HIPAA’s purview, creating grey areas in data protection (CDC, 2024). If a wearable integrates with clinical services, it becomes subject to HIPAA’s strict rules on consent and data security.</w:t>
      </w:r>
    </w:p>
    <w:p w:rsidR="00000000" w:rsidDel="00000000" w:rsidP="00000000" w:rsidRDefault="00000000" w:rsidRPr="00000000" w14:paraId="000001AC">
      <w:pPr>
        <w:spacing w:after="240" w:before="240" w:lineRule="auto"/>
        <w:jc w:val="both"/>
        <w:rPr/>
      </w:pPr>
      <w:r w:rsidDel="00000000" w:rsidR="00000000" w:rsidRPr="00000000">
        <w:rPr>
          <w:rtl w:val="0"/>
        </w:rPr>
        <w:t xml:space="preserve">In contrast, the EU’s General Data Protection Regulation (GDPR) classifies health and biometric data as sensitive, requiring explicit consent, secure storage, and transparent data practices (Hoofnagle et al., 2019). Devices that passively record user metrics must ensure users remain informed and in control—an operational challenge for many wellness platforms. For startups, GDPR compliance often necessitates costly encryption, anonymization protocols, and cybersecurity infrastructure.</w:t>
      </w:r>
    </w:p>
    <w:p w:rsidR="00000000" w:rsidDel="00000000" w:rsidP="00000000" w:rsidRDefault="00000000" w:rsidRPr="00000000" w14:paraId="000001AD">
      <w:pPr>
        <w:spacing w:after="240" w:before="240" w:lineRule="auto"/>
        <w:jc w:val="both"/>
        <w:rPr/>
      </w:pPr>
      <w:r w:rsidDel="00000000" w:rsidR="00000000" w:rsidRPr="00000000">
        <w:rPr>
          <w:rtl w:val="0"/>
        </w:rPr>
        <w:t xml:space="preserve">In response to these data security challenges, blockchain-based health data solutions are gaining attention. Platforms like AstraDAO propose decentralized storage models where users retain ownership and selectively share biometric data with consent (Haleem et al., 2021; Subramanian, 2022). While these technologies offer enhanced privacy and control, they remain early-stage and face scalability, technical, and regulatory hurdles (Perwej et al., 2025). Broad adoption will require both policy clarity and industry-wide standards.</w:t>
      </w:r>
    </w:p>
    <w:p w:rsidR="00000000" w:rsidDel="00000000" w:rsidP="00000000" w:rsidRDefault="00000000" w:rsidRPr="00000000" w14:paraId="000001AE">
      <w:pPr>
        <w:spacing w:after="240" w:before="240" w:lineRule="auto"/>
        <w:jc w:val="both"/>
        <w:rPr/>
      </w:pPr>
      <w:r w:rsidDel="00000000" w:rsidR="00000000" w:rsidRPr="00000000">
        <w:rPr>
          <w:rtl w:val="0"/>
        </w:rPr>
        <w:t xml:space="preserve">Another key challenge in the market landscape is consumer perception. Despite growing interest in preventive wellness, many at-home health technologies continue to face skepticism from both users and medical professionals (Rodrigues et al., 2024). Devices such as red light therapy panels and cryotherapy machines often claim significant health benefits, yet lack robust clinical validation (Tabish, 2008; Hernández-Bule et al., 2024). This lack of peer-reviewed research or regulatory endorsement contributes to public doubt (Algorri et al., 2023).</w:t>
      </w:r>
    </w:p>
    <w:p w:rsidR="00000000" w:rsidDel="00000000" w:rsidP="00000000" w:rsidRDefault="00000000" w:rsidRPr="00000000" w14:paraId="000001AF">
      <w:pPr>
        <w:spacing w:after="240" w:before="240" w:lineRule="auto"/>
        <w:jc w:val="both"/>
        <w:rPr/>
      </w:pPr>
      <w:r w:rsidDel="00000000" w:rsidR="00000000" w:rsidRPr="00000000">
        <w:rPr>
          <w:rtl w:val="0"/>
        </w:rPr>
        <w:t xml:space="preserve">Even major players such as Apple have drawn criticism. When the company released its blood oxygen feature as a non-medical tool, experts raised concerns over the lack of transparency and validation data (Wetsman, 2020). This reflects a broader trust gap: without credible studies, regulatory oversight, or independent certification, wellness products struggle to build consumer confidence (Johnson et al., 2016).</w:t>
      </w:r>
    </w:p>
    <w:p w:rsidR="00000000" w:rsidDel="00000000" w:rsidP="00000000" w:rsidRDefault="00000000" w:rsidRPr="00000000" w14:paraId="000001B0">
      <w:pPr>
        <w:spacing w:after="240" w:before="240" w:lineRule="auto"/>
        <w:jc w:val="both"/>
        <w:rPr/>
      </w:pPr>
      <w:r w:rsidDel="00000000" w:rsidR="00000000" w:rsidRPr="00000000">
        <w:rPr>
          <w:rtl w:val="0"/>
        </w:rPr>
        <w:t xml:space="preserve">To address this, startups must take proactive steps: clearly communicate product capabilities and limitations, invest in third-party testing, and—when feasible—pursue voluntary certification. These actions support the development of consumer trust, which is essential for adoption in decentralized wellness markets where traditional medical validation is absent.</w:t>
      </w:r>
    </w:p>
    <w:p w:rsidR="00000000" w:rsidDel="00000000" w:rsidP="00000000" w:rsidRDefault="00000000" w:rsidRPr="00000000" w14:paraId="000001B1">
      <w:pPr>
        <w:spacing w:after="240" w:before="240" w:lineRule="auto"/>
        <w:jc w:val="both"/>
        <w:rPr/>
      </w:pPr>
      <w:r w:rsidDel="00000000" w:rsidR="00000000" w:rsidRPr="00000000">
        <w:rPr>
          <w:rtl w:val="0"/>
        </w:rPr>
        <w:t xml:space="preserve">In summary, the regulatory and market environment for at-home health technologies is defined by complexity, inconsistency, and evolving expectations. Navigating FDA, MDR, HIPAA, and GDPR regulations while managing user perception presents significant challenges—but also opportunities. Trust-building strategies, including transparency, validation, and ethical design, are critical for long-term adoption and credibility in the preventive wellness sector.</w:t>
      </w:r>
      <w:r w:rsidDel="00000000" w:rsidR="00000000" w:rsidRPr="00000000">
        <w:rPr>
          <w:rtl w:val="0"/>
        </w:rPr>
      </w:r>
    </w:p>
    <w:p w:rsidR="00000000" w:rsidDel="00000000" w:rsidP="00000000" w:rsidRDefault="00000000" w:rsidRPr="00000000" w14:paraId="000001B2">
      <w:pPr>
        <w:spacing w:after="240" w:before="240" w:lineRule="auto"/>
        <w:jc w:val="both"/>
        <w:rPr/>
      </w:pPr>
      <w:r w:rsidDel="00000000" w:rsidR="00000000" w:rsidRPr="00000000">
        <w:rPr>
          <w:rtl w:val="0"/>
        </w:rPr>
        <w:t xml:space="preserve">Technological advancements are significantly expanding the capabilities of at-home health devices, opening new avenues for innovation and entrepreneurship (Byelsense, 2021). A key frontier in this transformation is the integration of artificial intelligence (AI) with continuous biometric monitoring (Yadav &amp; Yadav, 2025). Modern wearables now collect real-time data on heart rhythm, sleep, blood oxygen, glucose levels, and movement. AI algorithms analyse these data streams to detect patterns, flag abnormalities, and offer personalised health insights (Olawade et al., 2025).</w:t>
      </w:r>
    </w:p>
    <w:p w:rsidR="00000000" w:rsidDel="00000000" w:rsidP="00000000" w:rsidRDefault="00000000" w:rsidRPr="00000000" w14:paraId="000001B3">
      <w:pPr>
        <w:spacing w:after="240" w:before="240" w:lineRule="auto"/>
        <w:jc w:val="both"/>
        <w:rPr/>
      </w:pPr>
      <w:r w:rsidDel="00000000" w:rsidR="00000000" w:rsidRPr="00000000">
        <w:rPr>
          <w:rtl w:val="0"/>
        </w:rPr>
        <w:t xml:space="preserve">For example, Levels Health uses AI-driven analytics with continuous glucose monitors to deliver real-time, diet-related feedback (Business Wire, 2023). The goal is to shift health management from reactive to proactive—allowing early interventions based on biometric trends rather than waiting for symptoms. AI systems are already being used to detect early signs of conditions such as atrial fibrillation or to forecast influenza outbreaks days before clinical diagnosis (Duncker et al., 2021; Ekundayo et al., 2024; Papalamprakopoulou et al., 2024).</w:t>
      </w:r>
    </w:p>
    <w:p w:rsidR="00000000" w:rsidDel="00000000" w:rsidP="00000000" w:rsidRDefault="00000000" w:rsidRPr="00000000" w14:paraId="000001B4">
      <w:pPr>
        <w:spacing w:after="240" w:before="240" w:lineRule="auto"/>
        <w:jc w:val="both"/>
        <w:rPr/>
      </w:pPr>
      <w:r w:rsidDel="00000000" w:rsidR="00000000" w:rsidRPr="00000000">
        <w:rPr>
          <w:rtl w:val="0"/>
        </w:rPr>
        <w:t xml:space="preserve">However, challenges persist. False positives and inconsistent outputs highlight the importance of algorithm validation, and clinicians remain cautious about integrating AI-generated recommendations into formal care protocols (Hanna et al., 2025). Until such systems are fully standardised and endorsed, many experts advise interpreting AI alerts with medical oversight. Despite these concerns, AI continues to drive momentum due to its promise of personalised, actionable insights—critical in building consumer trust and empowering self-managed wellness (LaBoone et al., 2024; Bajwa et al., 2021).</w:t>
      </w:r>
    </w:p>
    <w:p w:rsidR="00000000" w:rsidDel="00000000" w:rsidP="00000000" w:rsidRDefault="00000000" w:rsidRPr="00000000" w14:paraId="000001B5">
      <w:pPr>
        <w:spacing w:after="240" w:before="240" w:lineRule="auto"/>
        <w:jc w:val="both"/>
        <w:rPr/>
      </w:pPr>
      <w:r w:rsidDel="00000000" w:rsidR="00000000" w:rsidRPr="00000000">
        <w:rPr>
          <w:rtl w:val="0"/>
        </w:rPr>
        <w:t xml:space="preserve">Another emerging force is the application of blockchain and decentralised systems to health data management. Projects like AstraDAO offer user-controlled platforms where individuals can own, manage, and share their biometric data securely via smart contracts (Subramanian, 2022; Haleem et al., 2022). This approach addresses common trust barriers—data tampering, unauthorised access, and lack of transparency—by ensuring immutability and consent-based sharing (Ettaloui et al., 2024).</w:t>
      </w:r>
    </w:p>
    <w:p w:rsidR="00000000" w:rsidDel="00000000" w:rsidP="00000000" w:rsidRDefault="00000000" w:rsidRPr="00000000" w14:paraId="000001B6">
      <w:pPr>
        <w:spacing w:after="240" w:before="240" w:lineRule="auto"/>
        <w:jc w:val="both"/>
        <w:rPr/>
      </w:pPr>
      <w:r w:rsidDel="00000000" w:rsidR="00000000" w:rsidRPr="00000000">
        <w:rPr>
          <w:rtl w:val="0"/>
        </w:rPr>
        <w:t xml:space="preserve">For entrepreneurs, these technologies offer new business models: tokenised health incentives, monetisation of personal health data, and community-driven research platforms (Habib &amp; Manik, 2025; Andrew et al., 2023). While promising, their mainstream adoption will require user-friendly interfaces and regulatory clarity, especially in health systems that are risk-averse and compliance-heavy (Virani, 2024; Narayan et al., 2024).</w:t>
      </w:r>
    </w:p>
    <w:p w:rsidR="00000000" w:rsidDel="00000000" w:rsidP="00000000" w:rsidRDefault="00000000" w:rsidRPr="00000000" w14:paraId="000001B7">
      <w:pPr>
        <w:spacing w:after="240" w:before="240" w:lineRule="auto"/>
        <w:jc w:val="both"/>
        <w:rPr/>
      </w:pPr>
      <w:r w:rsidDel="00000000" w:rsidR="00000000" w:rsidRPr="00000000">
        <w:rPr>
          <w:rtl w:val="0"/>
        </w:rPr>
        <w:t xml:space="preserve">Finally, the miniaturisation and decentralisation of therapeutic devices is enabling more clinical-grade treatments to migrate into homes. Technologies once confined to hospitals—like red light therapy beds, cryotherapy chambers, or portable hyperbaric systems—are now being redesigned for consumer use (Haleem et al., 2022; Junaid et al., 2022). Entrepreneurs are increasingly “domesticating” these modalities, transforming homes into wellness hubs (King, 2023).</w:t>
      </w:r>
    </w:p>
    <w:p w:rsidR="00000000" w:rsidDel="00000000" w:rsidP="00000000" w:rsidRDefault="00000000" w:rsidRPr="00000000" w14:paraId="000001B8">
      <w:pPr>
        <w:spacing w:after="240" w:before="240" w:lineRule="auto"/>
        <w:jc w:val="both"/>
        <w:rPr/>
      </w:pPr>
      <w:r w:rsidDel="00000000" w:rsidR="00000000" w:rsidRPr="00000000">
        <w:rPr>
          <w:rtl w:val="0"/>
        </w:rPr>
        <w:t xml:space="preserve">This shift not only enhances convenience but reframes trust—from physician-led validation to user experience, results, and credibility of the technology itself. As consumers adopt these treatments without a doctor’s referral, the burden of earning trust shifts from institutions to innovators. This requires new standards of transparency, efficacy communication, and safety-by-design.</w:t>
      </w:r>
    </w:p>
    <w:p w:rsidR="00000000" w:rsidDel="00000000" w:rsidP="00000000" w:rsidRDefault="00000000" w:rsidRPr="00000000" w14:paraId="000001B9">
      <w:pPr>
        <w:jc w:val="both"/>
        <w:rPr>
          <w:b w:val="1"/>
        </w:rPr>
      </w:pPr>
      <w:r w:rsidDel="00000000" w:rsidR="00000000" w:rsidRPr="00000000">
        <w:rPr>
          <w:rtl w:val="0"/>
        </w:rPr>
      </w:r>
    </w:p>
    <w:p w:rsidR="00000000" w:rsidDel="00000000" w:rsidP="00000000" w:rsidRDefault="00000000" w:rsidRPr="00000000" w14:paraId="000001BA">
      <w:pPr>
        <w:jc w:val="both"/>
        <w:rPr>
          <w:b w:val="1"/>
        </w:rPr>
      </w:pPr>
      <w:r w:rsidDel="00000000" w:rsidR="00000000" w:rsidRPr="00000000">
        <w:rPr>
          <w:b w:val="1"/>
          <w:rtl w:val="0"/>
        </w:rPr>
        <w:t xml:space="preserve">2.2 Emerging Technologies Driving Market Expansion</w:t>
      </w:r>
    </w:p>
    <w:p w:rsidR="00000000" w:rsidDel="00000000" w:rsidP="00000000" w:rsidRDefault="00000000" w:rsidRPr="00000000" w14:paraId="000001BB">
      <w:pPr>
        <w:spacing w:after="240" w:before="240" w:lineRule="auto"/>
        <w:jc w:val="both"/>
        <w:rPr/>
      </w:pPr>
      <w:r w:rsidDel="00000000" w:rsidR="00000000" w:rsidRPr="00000000">
        <w:rPr>
          <w:rtl w:val="0"/>
        </w:rPr>
        <w:t xml:space="preserve">Technological advancements are significantly expanding the capabilities of at-home health devices, opening new avenues for innovation and entrepreneurship (Byelsense, 2021). A key frontier in this transformation is the integration of artificial intelligence (AI) with continuous biometric monitoring (Yadav &amp; Yadav, 2025). Modern wearables now collect real-time data on heart rhythm, sleep, blood oxygen, glucose levels, and movement. AI algorithms analyse these data streams to detect patterns, flag abnormalities, and offer personalised health insights (Olawade et al., 2025).</w:t>
      </w:r>
    </w:p>
    <w:p w:rsidR="00000000" w:rsidDel="00000000" w:rsidP="00000000" w:rsidRDefault="00000000" w:rsidRPr="00000000" w14:paraId="000001BC">
      <w:pPr>
        <w:spacing w:after="240" w:before="240" w:lineRule="auto"/>
        <w:jc w:val="both"/>
        <w:rPr/>
      </w:pPr>
      <w:r w:rsidDel="00000000" w:rsidR="00000000" w:rsidRPr="00000000">
        <w:rPr>
          <w:rtl w:val="0"/>
        </w:rPr>
        <w:t xml:space="preserve">For example, Levels Health uses AI-driven analytics with continuous glucose monitors to deliver real-time, diet-related feedback (Business Wire, 2023). The goal is to shift health management from reactive to proactive—allowing early interventions based on biometric trends rather than waiting for symptoms. AI systems are already being used to detect early signs of conditions such as atrial fibrillation or to forecast influenza outbreaks days before clinical diagnosis (Duncker et al., 2021; Ekundayo et al., 2024; Papalamprakopoulou et al., 2024).</w:t>
      </w:r>
    </w:p>
    <w:p w:rsidR="00000000" w:rsidDel="00000000" w:rsidP="00000000" w:rsidRDefault="00000000" w:rsidRPr="00000000" w14:paraId="000001BD">
      <w:pPr>
        <w:spacing w:after="240" w:before="240" w:lineRule="auto"/>
        <w:jc w:val="both"/>
        <w:rPr/>
      </w:pPr>
      <w:r w:rsidDel="00000000" w:rsidR="00000000" w:rsidRPr="00000000">
        <w:rPr>
          <w:rtl w:val="0"/>
        </w:rPr>
        <w:t xml:space="preserve">However, challenges persist. False positives and inconsistent outputs highlight the importance of algorithm validation, and clinicians remain cautious about integrating AI-generated recommendations into formal care protocols (Hanna et al., 2025). Until such systems are fully standardised and endorsed, many experts advise interpreting AI alerts with medical oversight. Despite these concerns, AI continues to drive momentum due to its promise of personalised, actionable insights—critical in building consumer trust and empowering self-managed wellness (LaBoone et al., 2024; Bajwa et al., 2021).</w:t>
      </w:r>
    </w:p>
    <w:p w:rsidR="00000000" w:rsidDel="00000000" w:rsidP="00000000" w:rsidRDefault="00000000" w:rsidRPr="00000000" w14:paraId="000001BE">
      <w:pPr>
        <w:spacing w:after="240" w:before="240" w:lineRule="auto"/>
        <w:jc w:val="both"/>
        <w:rPr/>
      </w:pPr>
      <w:r w:rsidDel="00000000" w:rsidR="00000000" w:rsidRPr="00000000">
        <w:rPr>
          <w:rtl w:val="0"/>
        </w:rPr>
        <w:t xml:space="preserve">Another emerging force is the application of blockchain and decentralised systems to health data management. Projects like AstraDAO offer user-controlled platforms where individuals can own, manage, and share their biometric data securely via smart contracts (Subramanian, 2022; Haleem et al., 2022). This approach addresses common trust barriers—data tampering, unauthorised access, and lack of transparency—by ensuring immutability and consent-based sharing (Ettaloui et al., 2024).</w:t>
      </w:r>
    </w:p>
    <w:p w:rsidR="00000000" w:rsidDel="00000000" w:rsidP="00000000" w:rsidRDefault="00000000" w:rsidRPr="00000000" w14:paraId="000001BF">
      <w:pPr>
        <w:spacing w:after="240" w:before="240" w:lineRule="auto"/>
        <w:jc w:val="both"/>
        <w:rPr/>
      </w:pPr>
      <w:r w:rsidDel="00000000" w:rsidR="00000000" w:rsidRPr="00000000">
        <w:rPr>
          <w:rtl w:val="0"/>
        </w:rPr>
        <w:t xml:space="preserve">For entrepreneurs, these technologies offer new business models: tokenised health incentives, monetisation of personal health data, and community-driven research platforms (Habib &amp; Manik, 2025; Andrew et al., 2023). While promising, their mainstream adoption will require user-friendly interfaces and regulatory clarity, especially in health systems that are risk-averse and compliance-heavy (Virani, 2024; Narayan et al., 2024).</w:t>
      </w:r>
    </w:p>
    <w:p w:rsidR="00000000" w:rsidDel="00000000" w:rsidP="00000000" w:rsidRDefault="00000000" w:rsidRPr="00000000" w14:paraId="000001C0">
      <w:pPr>
        <w:spacing w:after="240" w:before="240" w:lineRule="auto"/>
        <w:jc w:val="both"/>
        <w:rPr/>
      </w:pPr>
      <w:r w:rsidDel="00000000" w:rsidR="00000000" w:rsidRPr="00000000">
        <w:rPr>
          <w:rtl w:val="0"/>
        </w:rPr>
        <w:t xml:space="preserve">Finally, the miniaturisation and decentralisation of therapeutic devices is enabling more clinical-grade treatments to migrate into homes. Technologies once confined to hospitals—like red light therapy beds, cryotherapy chambers, or portable hyperbaric systems—are now being redesigned for consumer use (Haleem et al., 2022; Junaid et al., 2022). Entrepreneurs are increasingly “domesticating” these modalities, transforming homes into wellness hubs (King, 2023).</w:t>
      </w:r>
    </w:p>
    <w:p w:rsidR="00000000" w:rsidDel="00000000" w:rsidP="00000000" w:rsidRDefault="00000000" w:rsidRPr="00000000" w14:paraId="000001C1">
      <w:pPr>
        <w:spacing w:after="240" w:before="240" w:lineRule="auto"/>
        <w:jc w:val="both"/>
        <w:rPr>
          <w:b w:val="1"/>
        </w:rPr>
      </w:pPr>
      <w:r w:rsidDel="00000000" w:rsidR="00000000" w:rsidRPr="00000000">
        <w:rPr>
          <w:rtl w:val="0"/>
        </w:rPr>
        <w:t xml:space="preserve">This shift not only enhances convenience but reframes trust—from physician-led validation to user experience, results, and credibility of the technology itself. As consumers adopt these treatments without a doctor’s referral, the burden of earning trust shifts from institutions to innovators. This requires new standards of transparency, efficacy communication, and safety-by-design.</w:t>
      </w:r>
      <w:r w:rsidDel="00000000" w:rsidR="00000000" w:rsidRPr="00000000">
        <w:rPr>
          <w:rtl w:val="0"/>
        </w:rPr>
      </w:r>
    </w:p>
    <w:p w:rsidR="00000000" w:rsidDel="00000000" w:rsidP="00000000" w:rsidRDefault="00000000" w:rsidRPr="00000000" w14:paraId="000001C2">
      <w:pPr>
        <w:jc w:val="both"/>
        <w:rPr>
          <w:b w:val="1"/>
        </w:rPr>
      </w:pPr>
      <w:r w:rsidDel="00000000" w:rsidR="00000000" w:rsidRPr="00000000">
        <w:rPr>
          <w:b w:val="1"/>
          <w:rtl w:val="0"/>
        </w:rPr>
        <w:t xml:space="preserve">2.2.1 Hyperbaric Oxygen Therapy (HBOT)</w:t>
      </w:r>
    </w:p>
    <w:p w:rsidR="00000000" w:rsidDel="00000000" w:rsidP="00000000" w:rsidRDefault="00000000" w:rsidRPr="00000000" w14:paraId="000001C3">
      <w:pPr>
        <w:spacing w:after="240" w:before="240" w:lineRule="auto"/>
        <w:jc w:val="both"/>
        <w:rPr/>
      </w:pPr>
      <w:r w:rsidDel="00000000" w:rsidR="00000000" w:rsidRPr="00000000">
        <w:rPr>
          <w:rtl w:val="0"/>
        </w:rPr>
        <w:t xml:space="preserve">Hyperbaric Oxygen Therapy (HBOT) involves breathing pure oxygen in a pressurised chamber at levels above atmospheric pressure—typically 1.5 to 3.0 atmospheres absolute (ATA) (Ortega et al., 2021). This increases oxygen saturation in blood plasma and tissues, accelerating healing, reducing inflammation, and supporting cellular metabolism (Babchin et al., 2011). Clinically, HBOT is FDA-approved for over a dozen indications including decompression sickness, carbon monoxide poisoning, chronic wounds, and radiation injuries (Bhutani &amp; Vishwanath, 2012; Gill et al., 2004).</w:t>
      </w:r>
    </w:p>
    <w:p w:rsidR="00000000" w:rsidDel="00000000" w:rsidP="00000000" w:rsidRDefault="00000000" w:rsidRPr="00000000" w14:paraId="000001C4">
      <w:pPr>
        <w:spacing w:after="240" w:before="240" w:lineRule="auto"/>
        <w:jc w:val="both"/>
        <w:rPr/>
      </w:pPr>
      <w:r w:rsidDel="00000000" w:rsidR="00000000" w:rsidRPr="00000000">
        <w:rPr>
          <w:rtl w:val="0"/>
        </w:rPr>
        <w:t xml:space="preserve">In recent years, HBOT has expanded beyond hospital use into the wellness space. Companies like OxyHealth and Summit to Sea have developed soft-shell, low-pressure chambers for home use, typically operating around 1.3 ATA with either oxygen concentrators or ambient air (UIAA, 2023; Kistner, 2023). While not FDA-approved for medical treatment outside prescribed clinical use, these systems are marketed for general wellness and recovery. The rise of biohacking culture, longevity science, and at-home health optimisation has driven growing interest from athletes, tech executives, and aging consumers alike (Fu et al., 2022; Gupta &amp; Rathored, 2024).</w:t>
      </w:r>
    </w:p>
    <w:p w:rsidR="00000000" w:rsidDel="00000000" w:rsidP="00000000" w:rsidRDefault="00000000" w:rsidRPr="00000000" w14:paraId="000001C5">
      <w:pPr>
        <w:spacing w:after="240" w:before="240" w:lineRule="auto"/>
        <w:jc w:val="both"/>
        <w:rPr/>
      </w:pPr>
      <w:r w:rsidDel="00000000" w:rsidR="00000000" w:rsidRPr="00000000">
        <w:rPr>
          <w:rtl w:val="0"/>
        </w:rPr>
        <w:t xml:space="preserve">The appeal of HBOT lies in its biological potential: enhanced angiogenesis, stem cell activation, and immunomodulation are all reported outcomes of increased tissue oxygenation (Fu et al., 2022). As a result, users report perceived benefits in sleep, recovery, inflammation, cognition, and even skin appearance (Alnawwar, 2023). Though many of these claims remain anecdotal, early studies suggest therapeutic potential in conditions like fibromyalgia, mild cognitive impairment, and age-related cognitive decline (Boussi-Gross et al., 2013).</w:t>
      </w:r>
    </w:p>
    <w:p w:rsidR="00000000" w:rsidDel="00000000" w:rsidP="00000000" w:rsidRDefault="00000000" w:rsidRPr="00000000" w14:paraId="000001C6">
      <w:pPr>
        <w:spacing w:after="240" w:before="240" w:lineRule="auto"/>
        <w:jc w:val="both"/>
        <w:rPr/>
      </w:pPr>
      <w:r w:rsidDel="00000000" w:rsidR="00000000" w:rsidRPr="00000000">
        <w:rPr>
          <w:rtl w:val="0"/>
        </w:rPr>
        <w:t xml:space="preserve">Clinically validated outcomes include enhanced wound healing, reduced inflammation, and improved tissue regeneration—particularly in diabetic ulcers and radiation-damaged tissues (Eisenbud, 2012; Wilson et al., 2007). Emerging research is also investigating HBOT’s role in traumatic brain injury, stroke recovery, and cerebral palsy (Halalmeh et al., 2024). However, medical consensus remains cautious as larger trials and longitudinal studies are still in development.</w:t>
      </w:r>
    </w:p>
    <w:p w:rsidR="00000000" w:rsidDel="00000000" w:rsidP="00000000" w:rsidRDefault="00000000" w:rsidRPr="00000000" w14:paraId="000001C7">
      <w:pPr>
        <w:spacing w:after="240" w:before="240" w:lineRule="auto"/>
        <w:jc w:val="both"/>
        <w:rPr/>
      </w:pPr>
      <w:r w:rsidDel="00000000" w:rsidR="00000000" w:rsidRPr="00000000">
        <w:rPr>
          <w:rtl w:val="0"/>
        </w:rPr>
        <w:t xml:space="preserve">Safety is a key concern. Risks include barotrauma (ear or sinus damage), temporary vision changes, and rare but serious complications such as oxygen toxicity or fire hazards due to oxygen-rich environments (Heyboer et al., 2017; Lee et al., 2025). Even low-pressure chambers require strict adherence to safety protocols. Individuals with conditions like COPD, untreated pneumothorax, or seizure disorders should seek medical guidance before use (Andrews et al., 2024; Catanese, 2024).</w:t>
      </w:r>
    </w:p>
    <w:p w:rsidR="00000000" w:rsidDel="00000000" w:rsidP="00000000" w:rsidRDefault="00000000" w:rsidRPr="00000000" w14:paraId="000001C8">
      <w:pPr>
        <w:spacing w:after="240" w:before="240" w:lineRule="auto"/>
        <w:jc w:val="both"/>
        <w:rPr/>
      </w:pPr>
      <w:r w:rsidDel="00000000" w:rsidR="00000000" w:rsidRPr="00000000">
        <w:rPr>
          <w:rtl w:val="0"/>
        </w:rPr>
        <w:t xml:space="preserve">Most home-use HBOT devices are not FDA-cleared for treating disease. As such, consumers must understand these are wellness products—not clinical substitutes (Pejic &amp; Frey, 2018). This distinction shapes product claims and sets expectations. In a clinical setting, trained technicians monitor safety. At home, users are responsible for pressure levels, session timing, and compliance with safety standards.</w:t>
      </w:r>
    </w:p>
    <w:p w:rsidR="00000000" w:rsidDel="00000000" w:rsidP="00000000" w:rsidRDefault="00000000" w:rsidRPr="00000000" w14:paraId="000001C9">
      <w:pPr>
        <w:spacing w:after="240" w:before="240" w:lineRule="auto"/>
        <w:jc w:val="both"/>
        <w:rPr/>
      </w:pPr>
      <w:r w:rsidDel="00000000" w:rsidR="00000000" w:rsidRPr="00000000">
        <w:rPr>
          <w:rtl w:val="0"/>
        </w:rPr>
        <w:t xml:space="preserve">Still, the emergence of consumer-grade HBOT represents a major shift in the decentralisation of health technology. Like wearables and telemedicine, HBOT devices empower individuals to manage health proactively—from recovery to longevity support—without institutional oversight (Vo et al., 2024). The portability of these systems also extends access to remote or mobility-limited populations.</w:t>
      </w:r>
    </w:p>
    <w:p w:rsidR="00000000" w:rsidDel="00000000" w:rsidP="00000000" w:rsidRDefault="00000000" w:rsidRPr="00000000" w14:paraId="000001CA">
      <w:pPr>
        <w:spacing w:after="240" w:before="240" w:lineRule="auto"/>
        <w:jc w:val="both"/>
        <w:rPr/>
      </w:pPr>
      <w:r w:rsidDel="00000000" w:rsidR="00000000" w:rsidRPr="00000000">
        <w:rPr>
          <w:rtl w:val="0"/>
        </w:rPr>
        <w:t xml:space="preserve">The HBOT movement exemplifies the Wellness Trust Lifecycle+ in action. Adoption depends not only on effectiveness but also on perceived credibility, usability, and safety. Without traditional medical gatekeepers, trust must be earned through transparent education, credible branding, and user experience. As science, innovation, and safety standards improve, HBOT may become a pillar of preventive wellness—pressurising a new era of self-directed healing (Parnis et al., 2024).</w:t>
      </w:r>
    </w:p>
    <w:p w:rsidR="00000000" w:rsidDel="00000000" w:rsidP="00000000" w:rsidRDefault="00000000" w:rsidRPr="00000000" w14:paraId="000001CB">
      <w:pPr>
        <w:jc w:val="both"/>
        <w:rPr>
          <w:b w:val="1"/>
        </w:rPr>
      </w:pPr>
      <w:r w:rsidDel="00000000" w:rsidR="00000000" w:rsidRPr="00000000">
        <w:rPr>
          <w:b w:val="1"/>
          <w:rtl w:val="0"/>
        </w:rPr>
        <w:t xml:space="preserve">2.2.2 Photobiomodulation (Red Light and Infrared Therapy) </w:t>
      </w:r>
    </w:p>
    <w:p w:rsidR="00000000" w:rsidDel="00000000" w:rsidP="00000000" w:rsidRDefault="00000000" w:rsidRPr="00000000" w14:paraId="000001CC">
      <w:pPr>
        <w:spacing w:after="240" w:before="240" w:lineRule="auto"/>
        <w:jc w:val="both"/>
        <w:rPr/>
      </w:pPr>
      <w:r w:rsidDel="00000000" w:rsidR="00000000" w:rsidRPr="00000000">
        <w:rPr>
          <w:rtl w:val="0"/>
        </w:rPr>
        <w:t xml:space="preserve">Photobiomodulation (PBM), commonly referred to as red light or low-level light therapy (LLLT), is a non-invasive treatment that uses red and near-infrared wavelengths (600–1100 nm) to stimulate cellular function (Dompe et al., 2020; Serrage et al., 2019). The core mechanism involves light absorption by mitochondria, leading to increased ATP production, reduced oxidative stress, and activation of tissue repair and anti-inflammatory pathways (de Freitas &amp; Hamblin, 2016).</w:t>
      </w:r>
    </w:p>
    <w:p w:rsidR="00000000" w:rsidDel="00000000" w:rsidP="00000000" w:rsidRDefault="00000000" w:rsidRPr="00000000" w14:paraId="000001CD">
      <w:pPr>
        <w:spacing w:after="240" w:before="240" w:lineRule="auto"/>
        <w:jc w:val="both"/>
        <w:rPr/>
      </w:pPr>
      <w:r w:rsidDel="00000000" w:rsidR="00000000" w:rsidRPr="00000000">
        <w:rPr>
          <w:rtl w:val="0"/>
        </w:rPr>
        <w:t xml:space="preserve">Initially used in clinical settings for wound healing, inflammation reduction, and musculoskeletal recovery, PBM quickly found application in dermatology, sports therapy, and pain management (Parizotto &amp; Ferraresi, 2024; Hernández-Bule et al., 2024). Over time, its use expanded into aesthetic medicine and neurocognitive wellness due to its potential to improve skin health, enhance recovery, and even influence mood and brain performance (Nizamutdinov et al., 2021).</w:t>
      </w:r>
    </w:p>
    <w:p w:rsidR="00000000" w:rsidDel="00000000" w:rsidP="00000000" w:rsidRDefault="00000000" w:rsidRPr="00000000" w14:paraId="000001CE">
      <w:pPr>
        <w:spacing w:after="240" w:before="240" w:lineRule="auto"/>
        <w:jc w:val="both"/>
        <w:rPr/>
      </w:pPr>
      <w:r w:rsidDel="00000000" w:rsidR="00000000" w:rsidRPr="00000000">
        <w:rPr>
          <w:rtl w:val="0"/>
        </w:rPr>
        <w:t xml:space="preserve">Today, PBM is widely available to consumers through modular at-home devices, including LED panels, facial masks, wands, and full-body beds. Brands like Joovv, PlatinumLED, and LS Pro Systems offer consumer-grade systems with customisable wavelengths and intensity settings (Algorri et al., 2021). Their portability and ease of use have made PBM a popular feature in self-managed wellness routines (Wunsch &amp; Matuschka, 2014).</w:t>
      </w:r>
    </w:p>
    <w:p w:rsidR="00000000" w:rsidDel="00000000" w:rsidP="00000000" w:rsidRDefault="00000000" w:rsidRPr="00000000" w14:paraId="000001CF">
      <w:pPr>
        <w:spacing w:after="240" w:before="240" w:lineRule="auto"/>
        <w:jc w:val="both"/>
        <w:rPr/>
      </w:pPr>
      <w:r w:rsidDel="00000000" w:rsidR="00000000" w:rsidRPr="00000000">
        <w:rPr>
          <w:rtl w:val="0"/>
        </w:rPr>
        <w:t xml:space="preserve">Scientific evidence supports several core benefits. The best-established effect is PBM’s anti-inflammatory response. Studies show it reduces pro-inflammatory cytokines and promotes antioxidant activity, contributing to pain relief and accelerated tissue repair (Kunnumakkara et al., 2023). Athletes use PBM for post-exercise recovery, reduced soreness, and performance enhancement. In dermatology, PBM has shown efficacy in boosting collagen production, reducing acne, and improving skin tone and texture (Ferraresi et al., 2016; Cafasso, 2023).</w:t>
      </w:r>
    </w:p>
    <w:p w:rsidR="00000000" w:rsidDel="00000000" w:rsidP="00000000" w:rsidRDefault="00000000" w:rsidRPr="00000000" w14:paraId="000001D0">
      <w:pPr>
        <w:spacing w:after="240" w:before="240" w:lineRule="auto"/>
        <w:jc w:val="both"/>
        <w:rPr/>
      </w:pPr>
      <w:r w:rsidDel="00000000" w:rsidR="00000000" w:rsidRPr="00000000">
        <w:rPr>
          <w:rtl w:val="0"/>
        </w:rPr>
        <w:t xml:space="preserve">Cognitive and neurological applications are an emerging frontier. Early research suggests that transcranial PBM may improve cerebral oxygenation and metabolic function, with potential to support memory, mood, and mental clarity (Nizamutdinov et al., 2021). Wearable PBM helmets and handheld cognitive devices are increasingly used by biohackers and aging populations seeking non-pharmaceutical brain support.</w:t>
      </w:r>
    </w:p>
    <w:p w:rsidR="00000000" w:rsidDel="00000000" w:rsidP="00000000" w:rsidRDefault="00000000" w:rsidRPr="00000000" w14:paraId="000001D1">
      <w:pPr>
        <w:spacing w:after="240" w:before="240" w:lineRule="auto"/>
        <w:jc w:val="both"/>
        <w:rPr/>
      </w:pPr>
      <w:r w:rsidDel="00000000" w:rsidR="00000000" w:rsidRPr="00000000">
        <w:rPr>
          <w:rtl w:val="0"/>
        </w:rPr>
        <w:t xml:space="preserve">However, the field faces challenges. PBM efficacy depends on precise dosing—wavelength, intensity, and duration matter. The “biphasic dose response” means both underuse and overuse can limit results (Zein et al., 2018). Skin type, tissue depth, and individual sensitivity also impact outcomes (Setchfield et al., 2024). Experts call for standardised protocols and longer-term trials to validate use cases across demographics (Beauchemin et al., 2019).</w:t>
      </w:r>
    </w:p>
    <w:p w:rsidR="00000000" w:rsidDel="00000000" w:rsidP="00000000" w:rsidRDefault="00000000" w:rsidRPr="00000000" w14:paraId="000001D2">
      <w:pPr>
        <w:spacing w:after="240" w:before="240" w:lineRule="auto"/>
        <w:jc w:val="both"/>
        <w:rPr/>
      </w:pPr>
      <w:r w:rsidDel="00000000" w:rsidR="00000000" w:rsidRPr="00000000">
        <w:rPr>
          <w:rtl w:val="0"/>
        </w:rPr>
        <w:t xml:space="preserve">That said, PBM is generally regarded as safe. Red and near-infrared light do not carry UV-related DNA risks. Minor side effects—such as redness or temporary headaches—are rare (Tsai &amp; Hamblin, 2017). Users with photosensitising medications or medical conditions should consult a professional before use. Safety eyewear is recommended for high-powered devices, and it is essential to purchase certified products with clear dosing guidelines (Valter et al., 2024).</w:t>
      </w:r>
    </w:p>
    <w:p w:rsidR="00000000" w:rsidDel="00000000" w:rsidP="00000000" w:rsidRDefault="00000000" w:rsidRPr="00000000" w14:paraId="000001D3">
      <w:pPr>
        <w:spacing w:after="240" w:before="240" w:lineRule="auto"/>
        <w:jc w:val="both"/>
        <w:rPr/>
      </w:pPr>
      <w:r w:rsidDel="00000000" w:rsidR="00000000" w:rsidRPr="00000000">
        <w:rPr>
          <w:rtl w:val="0"/>
        </w:rPr>
        <w:t xml:space="preserve">As with other wellness technologies, PBM’s expansion reflects a broader shift from clinical treatment to consumer-driven care. Affordable, portable, and non-invasive, it offers an accessible way for individuals to manage recovery, inflammation, mood, skin health, and energy—often without a prescription (Hernández-Bule et al., 2024). Paired with guided protocols or tracking apps, red light therapy is becoming a cornerstone of the digital wellness ecosystem (Roffarello et al., 2022).</w:t>
      </w:r>
    </w:p>
    <w:p w:rsidR="00000000" w:rsidDel="00000000" w:rsidP="00000000" w:rsidRDefault="00000000" w:rsidRPr="00000000" w14:paraId="000001D4">
      <w:pPr>
        <w:spacing w:after="240" w:before="240" w:lineRule="auto"/>
        <w:jc w:val="both"/>
        <w:rPr/>
      </w:pPr>
      <w:r w:rsidDel="00000000" w:rsidR="00000000" w:rsidRPr="00000000">
        <w:rPr>
          <w:rtl w:val="0"/>
        </w:rPr>
        <w:t xml:space="preserve">PBM exemplifies the core of your Wellness Trust Lifecycle⁺ framework: it thrives when users trust the product, understand the mechanism, and see tangible results. While more standardisation is needed, the public’s growing interest in evidence-based, intuitive, and user-controlled modalities positions PBM as one of the most scalable and culturally resonant tools in the preventive wellness toolkit (Pan et al., 2023; Zhang &amp; Qu, 2023).</w:t>
      </w:r>
      <w:r w:rsidDel="00000000" w:rsidR="00000000" w:rsidRPr="00000000">
        <w:rPr>
          <w:rtl w:val="0"/>
        </w:rPr>
      </w:r>
    </w:p>
    <w:p w:rsidR="00000000" w:rsidDel="00000000" w:rsidP="00000000" w:rsidRDefault="00000000" w:rsidRPr="00000000" w14:paraId="000001D5">
      <w:pPr>
        <w:jc w:val="both"/>
        <w:rPr>
          <w:b w:val="1"/>
        </w:rPr>
      </w:pPr>
      <w:r w:rsidDel="00000000" w:rsidR="00000000" w:rsidRPr="00000000">
        <w:rPr>
          <w:b w:val="1"/>
          <w:rtl w:val="0"/>
        </w:rPr>
        <w:t xml:space="preserve">2.2.3 Whole-Body Cryotherapy and Cold Therapy</w:t>
      </w:r>
    </w:p>
    <w:p w:rsidR="00000000" w:rsidDel="00000000" w:rsidP="00000000" w:rsidRDefault="00000000" w:rsidRPr="00000000" w14:paraId="000001D6">
      <w:pPr>
        <w:spacing w:after="240" w:before="240" w:lineRule="auto"/>
        <w:jc w:val="both"/>
        <w:rPr/>
      </w:pPr>
      <w:r w:rsidDel="00000000" w:rsidR="00000000" w:rsidRPr="00000000">
        <w:rPr>
          <w:rtl w:val="0"/>
        </w:rPr>
        <w:t xml:space="preserve">Cryotherapy—once the domain of elite athletes and luxury spas—is now a growing force in self-managed wellness (Lombardi et al., 2017). This umbrella includes whole-body cryochambers, localized nitrogen-based cooling, and increasingly, consumer-led cold immersion methods like ice baths and plunge tubs (Allan et al., 2022). These practices promise a wide range of benefits—physiological, psychological, and performance-related—through controlled exposure to cold.</w:t>
      </w:r>
    </w:p>
    <w:p w:rsidR="00000000" w:rsidDel="00000000" w:rsidP="00000000" w:rsidRDefault="00000000" w:rsidRPr="00000000" w14:paraId="000001D7">
      <w:pPr>
        <w:spacing w:after="240" w:before="240" w:lineRule="auto"/>
        <w:jc w:val="both"/>
        <w:rPr/>
      </w:pPr>
      <w:r w:rsidDel="00000000" w:rsidR="00000000" w:rsidRPr="00000000">
        <w:rPr>
          <w:rtl w:val="0"/>
        </w:rPr>
        <w:t xml:space="preserve">In clinical cryotherapy, individuals step into chambers cooled to –110°C to –160°C for 2–3 minutes. This rapid cooling triggers vasoconstriction, followed by improved circulation, endorphin release, and a cascade of recovery responses including reduced inflammation and pain (Selkow et al., 2015; Esperland et al., 2022). Though more studies are needed, evidence suggests benefits for arthritis, DOMS, fibromyalgia, and mood-related conditions (Douzi et al., 2019; Rush, 2024).</w:t>
      </w:r>
    </w:p>
    <w:p w:rsidR="00000000" w:rsidDel="00000000" w:rsidP="00000000" w:rsidRDefault="00000000" w:rsidRPr="00000000" w14:paraId="000001D8">
      <w:pPr>
        <w:spacing w:after="240" w:before="240" w:lineRule="auto"/>
        <w:jc w:val="both"/>
        <w:rPr/>
      </w:pPr>
      <w:r w:rsidDel="00000000" w:rsidR="00000000" w:rsidRPr="00000000">
        <w:rPr>
          <w:rtl w:val="0"/>
        </w:rPr>
        <w:t xml:space="preserve">Historically limited to clinical or elite settings, cryotherapy is now experiencing mass adoption. Brands like Plunge, Ice Barrel, and NorseBox offer consumer-grade products that deliver cryo-style benefits via electric tubs or minimalist immersion tools (Mehrotra et al., 2024). This trend reflects a deeper shift in health behavior: individuals are no longer passive patients, but proactive participants in recovery and performance optimization (DelveInsight, 2024).</w:t>
      </w:r>
    </w:p>
    <w:p w:rsidR="00000000" w:rsidDel="00000000" w:rsidP="00000000" w:rsidRDefault="00000000" w:rsidRPr="00000000" w14:paraId="000001D9">
      <w:pPr>
        <w:spacing w:after="240" w:before="240" w:lineRule="auto"/>
        <w:jc w:val="both"/>
        <w:rPr/>
      </w:pPr>
      <w:r w:rsidDel="00000000" w:rsidR="00000000" w:rsidRPr="00000000">
        <w:rPr>
          <w:rtl w:val="0"/>
        </w:rPr>
        <w:t xml:space="preserve">One of the biggest shifts has come through cold water immersion (CWI), which has been endorsed by influencers, athletes, and wellness practitioners alike. Sitting in water between 5°C and 10°C for a few minutes activates noradrenaline, promotes parasympathetic nervous system dominance, and may enhance metabolic regulation and thermogenesis via brown fat activation (Yankouskaya et al., 2023; Huo et al., 2022). These effects are not just physical—users often report a boost in mood, clarity, and discipline.</w:t>
      </w:r>
    </w:p>
    <w:p w:rsidR="00000000" w:rsidDel="00000000" w:rsidP="00000000" w:rsidRDefault="00000000" w:rsidRPr="00000000" w14:paraId="000001DA">
      <w:pPr>
        <w:spacing w:after="240" w:before="240" w:lineRule="auto"/>
        <w:jc w:val="both"/>
        <w:rPr/>
      </w:pPr>
      <w:r w:rsidDel="00000000" w:rsidR="00000000" w:rsidRPr="00000000">
        <w:rPr>
          <w:rtl w:val="0"/>
        </w:rPr>
        <w:t xml:space="preserve">Emerging studies link cold exposure to dopamine spikes, reduced anxiety, and improved resilience (Reed et al., 2023). The perceived “euphoric” feeling post-immersion has made cryotherapy a favorite for professionals, parents, and longevity seekers alike. It’s no longer just a tool for soreness—but a daily ritual that reinforces agency and mental strength.</w:t>
      </w:r>
    </w:p>
    <w:p w:rsidR="00000000" w:rsidDel="00000000" w:rsidP="00000000" w:rsidRDefault="00000000" w:rsidRPr="00000000" w14:paraId="000001DB">
      <w:pPr>
        <w:spacing w:after="240" w:before="240" w:lineRule="auto"/>
        <w:jc w:val="both"/>
        <w:rPr/>
      </w:pPr>
      <w:r w:rsidDel="00000000" w:rsidR="00000000" w:rsidRPr="00000000">
        <w:rPr>
          <w:rtl w:val="0"/>
        </w:rPr>
        <w:t xml:space="preserve">However, the practice isn’t risk-free. Improper exposure can cause frostbite, hypothermia, or cardiovascular strain, especially in those with preexisting conditions like hypertension or Raynaud’s disease (Ellis et al., 2022; Grazioso &amp; Djouder, 2023). Liquid nitrogen-based cryo also poses fire and skin injury risks if poorly regulated. Users must follow strict safety guidelines and consult professionals before use.</w:t>
      </w:r>
    </w:p>
    <w:p w:rsidR="00000000" w:rsidDel="00000000" w:rsidP="00000000" w:rsidRDefault="00000000" w:rsidRPr="00000000" w14:paraId="000001DC">
      <w:pPr>
        <w:spacing w:after="240" w:before="240" w:lineRule="auto"/>
        <w:jc w:val="both"/>
        <w:rPr/>
      </w:pPr>
      <w:r w:rsidDel="00000000" w:rsidR="00000000" w:rsidRPr="00000000">
        <w:rPr>
          <w:rtl w:val="0"/>
        </w:rPr>
        <w:t xml:space="preserve">Advancements in home setups have made cryotherapy more accessible and personalized. Modern tubs now offer app integration, filtration systems, and automated temperature tracking—delivering spa-quality experiences with data feedback. The lower cost of ownership compared to $40–$60 per session makes daily use viable and appealing.</w:t>
      </w:r>
    </w:p>
    <w:p w:rsidR="00000000" w:rsidDel="00000000" w:rsidP="00000000" w:rsidRDefault="00000000" w:rsidRPr="00000000" w14:paraId="000001DD">
      <w:pPr>
        <w:spacing w:after="240" w:before="240" w:lineRule="auto"/>
        <w:jc w:val="both"/>
        <w:rPr/>
      </w:pPr>
      <w:r w:rsidDel="00000000" w:rsidR="00000000" w:rsidRPr="00000000">
        <w:rPr>
          <w:rtl w:val="0"/>
        </w:rPr>
        <w:t xml:space="preserve">Importantly, cold therapy has become part of a broader ecosystem: many users stack it with breathwork (e.g., Wim Hof Method), red light therapy, or sauna contrast therapy. In this way, cold exposure becomes more than just a physiological tool—it’s a ritual of resilience, control, and empowerment. It aligns closely with the Wellness Trust Lifecycle⁺: trust isn’t built through FDA approval, but through felt benefits, community sharing, and consistent results.</w:t>
      </w:r>
    </w:p>
    <w:p w:rsidR="00000000" w:rsidDel="00000000" w:rsidP="00000000" w:rsidRDefault="00000000" w:rsidRPr="00000000" w14:paraId="000001DE">
      <w:pPr>
        <w:spacing w:after="240" w:before="240" w:lineRule="auto"/>
        <w:jc w:val="both"/>
        <w:rPr/>
      </w:pPr>
      <w:r w:rsidDel="00000000" w:rsidR="00000000" w:rsidRPr="00000000">
        <w:rPr>
          <w:rtl w:val="0"/>
        </w:rPr>
        <w:t xml:space="preserve">What began as a fringe practice is now a cornerstone of recovery culture, bolstered by both data and dopamine. As technology improves and protocols become more defined, cold therapy stands out as a powerful—and deeply human—way to reclaim health, mood, and mental grit.</w:t>
      </w:r>
    </w:p>
    <w:p w:rsidR="00000000" w:rsidDel="00000000" w:rsidP="00000000" w:rsidRDefault="00000000" w:rsidRPr="00000000" w14:paraId="000001DF">
      <w:pPr>
        <w:jc w:val="both"/>
        <w:rPr/>
      </w:pPr>
      <w:r w:rsidDel="00000000" w:rsidR="00000000" w:rsidRPr="00000000">
        <w:rPr>
          <w:b w:val="1"/>
          <w:rtl w:val="0"/>
        </w:rPr>
        <w:t xml:space="preserve">2.2.4 Other Portable Therapies </w:t>
      </w:r>
      <w:r w:rsidDel="00000000" w:rsidR="00000000" w:rsidRPr="00000000">
        <w:rPr>
          <w:rtl w:val="0"/>
        </w:rPr>
      </w:r>
    </w:p>
    <w:p w:rsidR="00000000" w:rsidDel="00000000" w:rsidP="00000000" w:rsidRDefault="00000000" w:rsidRPr="00000000" w14:paraId="000001E0">
      <w:pPr>
        <w:spacing w:after="240" w:before="240" w:lineRule="auto"/>
        <w:jc w:val="both"/>
        <w:rPr/>
      </w:pPr>
      <w:r w:rsidDel="00000000" w:rsidR="00000000" w:rsidRPr="00000000">
        <w:rPr>
          <w:rtl w:val="0"/>
        </w:rPr>
        <w:t xml:space="preserve">The ecosystem of portable health technologies continues to redefine what care can look like outside a clinic. These tools now span from recovery and detox to cognitive enhancement, seamlessly integrating into homes, gyms, and wellness routines (Haleem et al., 2021).</w:t>
      </w:r>
    </w:p>
    <w:p w:rsidR="00000000" w:rsidDel="00000000" w:rsidP="00000000" w:rsidRDefault="00000000" w:rsidRPr="00000000" w14:paraId="000001E1">
      <w:pPr>
        <w:spacing w:after="240" w:before="240" w:lineRule="auto"/>
        <w:jc w:val="both"/>
        <w:rPr/>
      </w:pPr>
      <w:r w:rsidDel="00000000" w:rsidR="00000000" w:rsidRPr="00000000">
        <w:rPr>
          <w:rtl w:val="0"/>
        </w:rPr>
        <w:t xml:space="preserve">Infrared saunas, once limited to spas, now come in compact, at-home units promoting detoxification, circulation, and muscle recovery using far-infrared wavelengths at lower ambient temps (Hussain &amp; Cohen, 2018). Similarly, halotherapy—or dry salt therapy—is gaining attention for its potential respiratory and skin benefits. Originally used in clinical and Eastern European spa settings, portable salt inhalers and home halochambers now allow consumers to simulate the effects of salt caves for sinus health, skin inflammation, and asthma-like symptoms (Maretti et al., 2023).</w:t>
      </w:r>
    </w:p>
    <w:p w:rsidR="00000000" w:rsidDel="00000000" w:rsidP="00000000" w:rsidRDefault="00000000" w:rsidRPr="00000000" w14:paraId="000001E2">
      <w:pPr>
        <w:spacing w:after="240" w:before="240" w:lineRule="auto"/>
        <w:jc w:val="both"/>
        <w:rPr/>
      </w:pPr>
      <w:r w:rsidDel="00000000" w:rsidR="00000000" w:rsidRPr="00000000">
        <w:rPr>
          <w:rtl w:val="0"/>
        </w:rPr>
        <w:t xml:space="preserve">Compression therapy, once restricted to post-op care or elite sports, is now available as wearable recovery sleeves or massage boots. These devices apply graduated pressure to legs, arms, or hips to improve circulation, reduce swelling, and accelerate muscle repair. Normatec, Therabody, and RecoveryPump are leading brands making compression more mainstream—positioning it as a daily ritual rather than a niche intervention.</w:t>
      </w:r>
    </w:p>
    <w:p w:rsidR="00000000" w:rsidDel="00000000" w:rsidP="00000000" w:rsidRDefault="00000000" w:rsidRPr="00000000" w14:paraId="000001E3">
      <w:pPr>
        <w:spacing w:after="240" w:before="240" w:lineRule="auto"/>
        <w:jc w:val="both"/>
        <w:rPr/>
      </w:pPr>
      <w:r w:rsidDel="00000000" w:rsidR="00000000" w:rsidRPr="00000000">
        <w:rPr>
          <w:rtl w:val="0"/>
        </w:rPr>
        <w:t xml:space="preserve">Meanwhile, wearables and real-time biometrics continue to fuel trust in self-managed care. Devices like the Oura Ring, WHOOP, and continuous glucose monitors track HRV, sleep, blood sugar, or readiness scores—offering personalized insights with increasingly high fidelity (Bertsch et al., 2023). These metrics are becoming part of how users validate therapies like cold immersion or red light therapy: if sleep scores or recovery improve, that’s proof in their eyes—even without FDA clearance.</w:t>
      </w:r>
    </w:p>
    <w:p w:rsidR="00000000" w:rsidDel="00000000" w:rsidP="00000000" w:rsidRDefault="00000000" w:rsidRPr="00000000" w14:paraId="000001E4">
      <w:pPr>
        <w:spacing w:after="240" w:before="240" w:lineRule="auto"/>
        <w:jc w:val="both"/>
        <w:rPr/>
      </w:pPr>
      <w:r w:rsidDel="00000000" w:rsidR="00000000" w:rsidRPr="00000000">
        <w:rPr>
          <w:rtl w:val="0"/>
        </w:rPr>
        <w:t xml:space="preserve">Brainwave entrainment tools like transcranial direct current stimulation (tDCS) and EEG feedback headsets are also gaining traction for mood, focus, and stress modulation (Gkintoni et al., 2025). Marketed as drug-free tools for ADHD, anxiety, or cognitive performance, these portable devices reflect a broader hunger for neuro-enhancement without prescriptions.</w:t>
      </w:r>
    </w:p>
    <w:p w:rsidR="00000000" w:rsidDel="00000000" w:rsidP="00000000" w:rsidRDefault="00000000" w:rsidRPr="00000000" w14:paraId="000001E5">
      <w:pPr>
        <w:spacing w:after="240" w:before="240" w:lineRule="auto"/>
        <w:jc w:val="both"/>
        <w:rPr/>
      </w:pPr>
      <w:r w:rsidDel="00000000" w:rsidR="00000000" w:rsidRPr="00000000">
        <w:rPr>
          <w:rtl w:val="0"/>
        </w:rPr>
        <w:t xml:space="preserve">Even traditionally clinical devices—like home dialysis machines and infusion pumps—are now empowering patients to manage chronic conditions privately and safely (Davenport, 2015). While outside the typical wellness scope, they underscore the movement toward decentralization, where autonomy and daily integration are prized.</w:t>
      </w:r>
    </w:p>
    <w:p w:rsidR="00000000" w:rsidDel="00000000" w:rsidP="00000000" w:rsidRDefault="00000000" w:rsidRPr="00000000" w14:paraId="000001E6">
      <w:pPr>
        <w:spacing w:after="240" w:before="240" w:lineRule="auto"/>
        <w:jc w:val="both"/>
        <w:rPr/>
      </w:pPr>
      <w:r w:rsidDel="00000000" w:rsidR="00000000" w:rsidRPr="00000000">
        <w:rPr>
          <w:rtl w:val="0"/>
        </w:rPr>
        <w:t xml:space="preserve">These therapies are increasingly integrated into consumer life—but the regulatory lag is real. Many devices marketed as “wellness” avoid medical oversight, raising trust and safety concerns. For example, whole-body cryotherapy is not FDA-approved for any medical use, despite widespread claims. Risks like frostbite, oxygen toxicity, or incorrect dosing remain (FDA, 2023).</w:t>
      </w:r>
    </w:p>
    <w:p w:rsidR="00000000" w:rsidDel="00000000" w:rsidP="00000000" w:rsidRDefault="00000000" w:rsidRPr="00000000" w14:paraId="000001E7">
      <w:pPr>
        <w:spacing w:after="240" w:before="240" w:lineRule="auto"/>
        <w:jc w:val="both"/>
        <w:rPr/>
      </w:pPr>
      <w:r w:rsidDel="00000000" w:rsidR="00000000" w:rsidRPr="00000000">
        <w:rPr>
          <w:rtl w:val="0"/>
        </w:rPr>
        <w:t xml:space="preserve">Without formal validation, the onus falls on entrepreneurs to provide transparency and education. As Papp (2006) noted, long-term safety data for many home therapies remains sparse. Red light therapy, for example, shows short-term efficacy, but longitudinal studies are lacking for full-body use in healthy individuals (Hamblin, 2014). Similarly, soft-shell hyperbaric systems pose potential risks—yet proliferate with minimal oversight (Ortega et al., 2021).</w:t>
      </w:r>
    </w:p>
    <w:p w:rsidR="00000000" w:rsidDel="00000000" w:rsidP="00000000" w:rsidRDefault="00000000" w:rsidRPr="00000000" w14:paraId="000001E8">
      <w:pPr>
        <w:spacing w:after="240" w:before="240" w:lineRule="auto"/>
        <w:jc w:val="both"/>
        <w:rPr/>
      </w:pPr>
      <w:r w:rsidDel="00000000" w:rsidR="00000000" w:rsidRPr="00000000">
        <w:rPr>
          <w:rtl w:val="0"/>
        </w:rPr>
        <w:t xml:space="preserve">Despite these gaps, market adoption grows. Smart features like app control, data dashboards, and community sharing platforms help foster trust. But they also reveal a new paradigm: people aren’t just buying devices—they’re buying beliefs. That’s the heart of the Wellness Trust Lifecycle⁺.</w:t>
      </w:r>
    </w:p>
    <w:p w:rsidR="00000000" w:rsidDel="00000000" w:rsidP="00000000" w:rsidRDefault="00000000" w:rsidRPr="00000000" w14:paraId="000001E9">
      <w:pPr>
        <w:spacing w:after="240" w:before="240" w:lineRule="auto"/>
        <w:jc w:val="both"/>
        <w:rPr/>
      </w:pPr>
      <w:r w:rsidDel="00000000" w:rsidR="00000000" w:rsidRPr="00000000">
        <w:rPr>
          <w:rtl w:val="0"/>
        </w:rPr>
        <w:t xml:space="preserve">To sustain growth, the sector must move toward better standards—whether through industry self-certification, third-party validation, or data transparency. Until then, consumers will continue sorting signals from noise—trusting what feels good, tracks better, and works in real life.</w:t>
      </w:r>
    </w:p>
    <w:p w:rsidR="00000000" w:rsidDel="00000000" w:rsidP="00000000" w:rsidRDefault="00000000" w:rsidRPr="00000000" w14:paraId="000001EA">
      <w:pPr>
        <w:spacing w:after="240" w:before="240" w:lineRule="auto"/>
        <w:jc w:val="both"/>
        <w:rPr/>
      </w:pPr>
      <w:r w:rsidDel="00000000" w:rsidR="00000000" w:rsidRPr="00000000">
        <w:rPr>
          <w:rtl w:val="0"/>
        </w:rPr>
        <w:t xml:space="preserve">In sum, from salt caves to sleep scores, and from pressurized boots to pressurized chambers, the rise of portable wellness tech reveals a profound shift: healthcare is no longer confined to the hospital. It’s personal, portable, and powered by trust.</w:t>
      </w:r>
    </w:p>
    <w:p w:rsidR="00000000" w:rsidDel="00000000" w:rsidP="00000000" w:rsidRDefault="00000000" w:rsidRPr="00000000" w14:paraId="000001EB">
      <w:pPr>
        <w:spacing w:after="240" w:before="240" w:lineRule="auto"/>
        <w:jc w:val="both"/>
        <w:rPr>
          <w:b w:val="1"/>
        </w:rPr>
      </w:pPr>
      <w:r w:rsidDel="00000000" w:rsidR="00000000" w:rsidRPr="00000000">
        <w:rPr>
          <w:b w:val="1"/>
          <w:rtl w:val="0"/>
        </w:rPr>
        <w:t xml:space="preserve">2.2.5 Smart Feedback Loops: AI Coaching, Biomarker Dashboards, &amp; Digital Diagnostics</w:t>
      </w:r>
    </w:p>
    <w:p w:rsidR="00000000" w:rsidDel="00000000" w:rsidP="00000000" w:rsidRDefault="00000000" w:rsidRPr="00000000" w14:paraId="000001EC">
      <w:pPr>
        <w:spacing w:after="240" w:before="240" w:lineRule="auto"/>
        <w:jc w:val="both"/>
        <w:rPr/>
      </w:pPr>
      <w:r w:rsidDel="00000000" w:rsidR="00000000" w:rsidRPr="00000000">
        <w:rPr>
          <w:rtl w:val="0"/>
        </w:rPr>
        <w:t xml:space="preserve">The rise of AI-driven platforms, real-time dashboards, and digital diagnostics is transforming how consumers engage with wellness technologies. These tools are not just passive trackers—they actively shape behavior, build trust, and enhance perceived effectiveness.</w:t>
      </w:r>
    </w:p>
    <w:p w:rsidR="00000000" w:rsidDel="00000000" w:rsidP="00000000" w:rsidRDefault="00000000" w:rsidRPr="00000000" w14:paraId="000001ED">
      <w:pPr>
        <w:spacing w:after="240" w:before="240" w:lineRule="auto"/>
        <w:jc w:val="both"/>
        <w:rPr/>
      </w:pPr>
      <w:r w:rsidDel="00000000" w:rsidR="00000000" w:rsidRPr="00000000">
        <w:rPr>
          <w:rtl w:val="0"/>
        </w:rPr>
        <w:t xml:space="preserve">AI coaching systems like those embedded in glucose monitors or wearable apps now deliver personalized prompts, insights, and nudges. They act as virtual companions, helping users interpret complex data and stay motivated—whether improving sleep, managing stress, or adjusting diet in real time.</w:t>
      </w:r>
    </w:p>
    <w:p w:rsidR="00000000" w:rsidDel="00000000" w:rsidP="00000000" w:rsidRDefault="00000000" w:rsidRPr="00000000" w14:paraId="000001EE">
      <w:pPr>
        <w:spacing w:after="240" w:before="240" w:lineRule="auto"/>
        <w:jc w:val="both"/>
        <w:rPr/>
      </w:pPr>
      <w:r w:rsidDel="00000000" w:rsidR="00000000" w:rsidRPr="00000000">
        <w:rPr>
          <w:rtl w:val="0"/>
        </w:rPr>
        <w:t xml:space="preserve">Biomarker dashboards are the new interface of trust. Metrics like HRV, REM sleep, glucose variability, and biological age are increasingly expected by users as proof a device or treatment “works.” When paired with meaningful design, they become both feedback and fuel for sustained engagement.</w:t>
      </w:r>
    </w:p>
    <w:p w:rsidR="00000000" w:rsidDel="00000000" w:rsidP="00000000" w:rsidRDefault="00000000" w:rsidRPr="00000000" w14:paraId="000001EF">
      <w:pPr>
        <w:spacing w:after="240" w:before="240" w:lineRule="auto"/>
        <w:jc w:val="both"/>
        <w:rPr/>
      </w:pPr>
      <w:r w:rsidDel="00000000" w:rsidR="00000000" w:rsidRPr="00000000">
        <w:rPr>
          <w:rtl w:val="0"/>
        </w:rPr>
        <w:t xml:space="preserve">Digital diagnostics—powered by AI and predictive modeling—are pushing the frontier further. From wearables that detect early signs of illness to emerging voice, breath, and saliva-based tools, these innovations shift care from reactive to preemptive.</w:t>
      </w:r>
    </w:p>
    <w:p w:rsidR="00000000" w:rsidDel="00000000" w:rsidP="00000000" w:rsidRDefault="00000000" w:rsidRPr="00000000" w14:paraId="000001F0">
      <w:pPr>
        <w:spacing w:after="240" w:before="240" w:lineRule="auto"/>
        <w:jc w:val="both"/>
        <w:rPr/>
      </w:pPr>
      <w:r w:rsidDel="00000000" w:rsidR="00000000" w:rsidRPr="00000000">
        <w:rPr>
          <w:rtl w:val="0"/>
        </w:rPr>
        <w:t xml:space="preserve">Together, these systems form the backbone of a trust-first user experience. They don’t just show numbers—they build belief. And in decentralized wellness markets, belief is what drives adoption.</w:t>
      </w:r>
    </w:p>
    <w:p w:rsidR="00000000" w:rsidDel="00000000" w:rsidP="00000000" w:rsidRDefault="00000000" w:rsidRPr="00000000" w14:paraId="000001F1">
      <w:pPr>
        <w:jc w:val="both"/>
        <w:rPr>
          <w:b w:val="1"/>
        </w:rPr>
      </w:pPr>
      <w:r w:rsidDel="00000000" w:rsidR="00000000" w:rsidRPr="00000000">
        <w:rPr>
          <w:b w:val="1"/>
          <w:rtl w:val="0"/>
        </w:rPr>
        <w:t xml:space="preserve">2.3 Business Models and Consumer Engagement</w:t>
      </w:r>
    </w:p>
    <w:p w:rsidR="00000000" w:rsidDel="00000000" w:rsidP="00000000" w:rsidRDefault="00000000" w:rsidRPr="00000000" w14:paraId="000001F2">
      <w:pPr>
        <w:spacing w:after="240" w:before="240" w:lineRule="auto"/>
        <w:jc w:val="both"/>
        <w:rPr/>
      </w:pPr>
      <w:r w:rsidDel="00000000" w:rsidR="00000000" w:rsidRPr="00000000">
        <w:rPr>
          <w:rtl w:val="0"/>
        </w:rPr>
        <w:t xml:space="preserve">The healthcare industry is undergoing a paradigm shift—from provider-centered systems to decentralized, consumer-driven models. At the center of this transformation are at-home health technologies: wearables, diagnostics, and AI-powered platforms that offer personalized, participatory, and real-time care.</w:t>
      </w:r>
    </w:p>
    <w:p w:rsidR="00000000" w:rsidDel="00000000" w:rsidP="00000000" w:rsidRDefault="00000000" w:rsidRPr="00000000" w14:paraId="000001F3">
      <w:pPr>
        <w:spacing w:after="240" w:before="240" w:lineRule="auto"/>
        <w:jc w:val="both"/>
        <w:rPr/>
      </w:pPr>
      <w:r w:rsidDel="00000000" w:rsidR="00000000" w:rsidRPr="00000000">
        <w:rPr>
          <w:rtl w:val="0"/>
        </w:rPr>
        <w:t xml:space="preserve">Early research focused on regulatory barriers and systemic mistrust (Armstrong et al., 2006; Mainous et al., 2019). But adoption today isn’t just about the tech—it’s about consumer psychology, business models, and behavioral design. As market dynamics, policy, and expectations evolve rapidly, entrepreneurs are embracing emergent strategies to meet users where they are—at home, on their phones, and in their routines.</w:t>
      </w:r>
    </w:p>
    <w:p w:rsidR="00000000" w:rsidDel="00000000" w:rsidP="00000000" w:rsidRDefault="00000000" w:rsidRPr="00000000" w14:paraId="000001F4">
      <w:pPr>
        <w:spacing w:after="240" w:before="240" w:lineRule="auto"/>
        <w:jc w:val="both"/>
        <w:rPr/>
      </w:pPr>
      <w:r w:rsidDel="00000000" w:rsidR="00000000" w:rsidRPr="00000000">
        <w:rPr>
          <w:rtl w:val="0"/>
        </w:rPr>
        <w:t xml:space="preserve">Companies like Peloton, WHOOP, and Eight Sleep have adopted subscription models bundling hardware with coaching, analytics, and updates. The value must stay high—churn is instant when engagement drops. Meanwhile, Joovv and Therabody pursue direct-to-consumer (D2C) sales for speed and iteration. Cost and regulation remain barriers, but agility helps reach early adopters.</w:t>
      </w:r>
    </w:p>
    <w:p w:rsidR="00000000" w:rsidDel="00000000" w:rsidP="00000000" w:rsidRDefault="00000000" w:rsidRPr="00000000" w14:paraId="000001F5">
      <w:pPr>
        <w:spacing w:after="240" w:before="240" w:lineRule="auto"/>
        <w:jc w:val="both"/>
        <w:rPr/>
      </w:pPr>
      <w:r w:rsidDel="00000000" w:rsidR="00000000" w:rsidRPr="00000000">
        <w:rPr>
          <w:rtl w:val="0"/>
        </w:rPr>
        <w:t xml:space="preserve">Abbott’s FreeStyle Libre uses a hybrid model: it serves clinical needs with insurance support but is also adopted by wellness users. This dual-path strategy manages both regulation and consumer demand—a blueprint for others.</w:t>
      </w:r>
    </w:p>
    <w:p w:rsidR="00000000" w:rsidDel="00000000" w:rsidP="00000000" w:rsidRDefault="00000000" w:rsidRPr="00000000" w14:paraId="000001F6">
      <w:pPr>
        <w:spacing w:after="240" w:before="240" w:lineRule="auto"/>
        <w:jc w:val="both"/>
        <w:rPr/>
      </w:pPr>
      <w:r w:rsidDel="00000000" w:rsidR="00000000" w:rsidRPr="00000000">
        <w:rPr>
          <w:rtl w:val="0"/>
        </w:rPr>
        <w:t xml:space="preserve">Retention goes beyond tech. Smart brands tap influencers, gamification, and community to build ecosystems. From Oura Ring’s influencer halo to Peloton’s leaderboards, emotional connection and peer validation increase stickiness and trust.</w:t>
      </w:r>
    </w:p>
    <w:p w:rsidR="00000000" w:rsidDel="00000000" w:rsidP="00000000" w:rsidRDefault="00000000" w:rsidRPr="00000000" w14:paraId="000001F7">
      <w:pPr>
        <w:spacing w:after="240" w:before="240" w:lineRule="auto"/>
        <w:jc w:val="both"/>
        <w:rPr/>
      </w:pPr>
      <w:r w:rsidDel="00000000" w:rsidR="00000000" w:rsidRPr="00000000">
        <w:rPr>
          <w:rtl w:val="0"/>
        </w:rPr>
        <w:t xml:space="preserve">This mirrors a broader trend: the consumer is now self-empowered, behavior-driven, and choice-oriented (Barry &amp; Edgman Levitan, 2012; Epstein et al., 2010). Health systems must design for responsiveness, personalization, and control.</w:t>
      </w:r>
    </w:p>
    <w:p w:rsidR="00000000" w:rsidDel="00000000" w:rsidP="00000000" w:rsidRDefault="00000000" w:rsidRPr="00000000" w14:paraId="000001F8">
      <w:pPr>
        <w:spacing w:after="240" w:before="240" w:lineRule="auto"/>
        <w:jc w:val="both"/>
        <w:rPr/>
      </w:pPr>
      <w:r w:rsidDel="00000000" w:rsidR="00000000" w:rsidRPr="00000000">
        <w:rPr>
          <w:rtl w:val="0"/>
        </w:rPr>
        <w:t xml:space="preserve">Ethical and policy dimensions matter too—especially around data privacy, algorithmic transparency, and accessibility (Zulman et al., 2015; Gostin &amp; Wiley, 2016). Wearables and biometrics offer scalable prevention, but few studies explore long-term behavior integration or trust trajectories over time (Patel et al., 2015; Piwek et al., 2016).</w:t>
      </w:r>
    </w:p>
    <w:p w:rsidR="00000000" w:rsidDel="00000000" w:rsidP="00000000" w:rsidRDefault="00000000" w:rsidRPr="00000000" w14:paraId="000001F9">
      <w:pPr>
        <w:spacing w:after="240" w:before="240" w:lineRule="auto"/>
        <w:jc w:val="both"/>
        <w:rPr/>
      </w:pPr>
      <w:r w:rsidDel="00000000" w:rsidR="00000000" w:rsidRPr="00000000">
        <w:rPr>
          <w:rtl w:val="0"/>
        </w:rPr>
        <w:t xml:space="preserve">This thesis fills that gap. By embedding technology credibility, health motivation, personal innovativeness, and perceived risk into adoption models, it offers a trust-first framework that reflects how real users decide. It brings empirical insight to developers, entrepreneurs, and policymakers—so they can build wellness tech that’s not just smart, but believed, used, and loved.</w:t>
      </w:r>
    </w:p>
    <w:p w:rsidR="00000000" w:rsidDel="00000000" w:rsidP="00000000" w:rsidRDefault="00000000" w:rsidRPr="00000000" w14:paraId="000001FA">
      <w:pPr>
        <w:spacing w:after="280" w:before="280" w:lineRule="auto"/>
        <w:rPr>
          <w:b w:val="1"/>
        </w:rPr>
      </w:pPr>
      <w:r w:rsidDel="00000000" w:rsidR="00000000" w:rsidRPr="00000000">
        <w:rPr>
          <w:b w:val="1"/>
          <w:rtl w:val="0"/>
        </w:rPr>
        <w:t xml:space="preserve">2.4 Theoretical Framework</w:t>
      </w:r>
    </w:p>
    <w:p w:rsidR="00000000" w:rsidDel="00000000" w:rsidP="00000000" w:rsidRDefault="00000000" w:rsidRPr="00000000" w14:paraId="000001FB">
      <w:pPr>
        <w:spacing w:after="240" w:before="240" w:lineRule="auto"/>
        <w:jc w:val="both"/>
        <w:rPr/>
      </w:pPr>
      <w:r w:rsidDel="00000000" w:rsidR="00000000" w:rsidRPr="00000000">
        <w:rPr>
          <w:rtl w:val="0"/>
        </w:rPr>
        <w:t xml:space="preserve">Over the past decades, experts have proposed numerous models to explain how individuals adopt new technologies. Key among them are the Technology Acceptance Model (TAM, TAM2), the Unified Theory of Acceptance and Use of Technology (UTAUT), the Theory of Reasoned Action (TRA), and the Theory of Planned Behavior (TPB).</w:t>
      </w:r>
    </w:p>
    <w:p w:rsidR="00000000" w:rsidDel="00000000" w:rsidP="00000000" w:rsidRDefault="00000000" w:rsidRPr="00000000" w14:paraId="000001FC">
      <w:pPr>
        <w:spacing w:after="240" w:before="240" w:lineRule="auto"/>
        <w:jc w:val="both"/>
        <w:rPr/>
      </w:pPr>
      <w:r w:rsidDel="00000000" w:rsidR="00000000" w:rsidRPr="00000000">
        <w:rPr>
          <w:rtl w:val="0"/>
        </w:rPr>
        <w:t xml:space="preserve">This dissertation builds on these foundations but goes further—proposing a hybrid model that integrates behavioral science, entrepreneurship, and health tech adoption theory. The focus: better explain how consumers adopt decentralized, preventive wellness technologies—especially when these tools are marketed directly to users without the traditional guardrails of regulation, medical endorsement, or institutional trust.</w:t>
      </w:r>
    </w:p>
    <w:p w:rsidR="00000000" w:rsidDel="00000000" w:rsidP="00000000" w:rsidRDefault="00000000" w:rsidRPr="00000000" w14:paraId="000001FD">
      <w:pPr>
        <w:spacing w:after="240" w:before="240" w:lineRule="auto"/>
        <w:jc w:val="both"/>
        <w:rPr/>
      </w:pPr>
      <w:r w:rsidDel="00000000" w:rsidR="00000000" w:rsidRPr="00000000">
        <w:rPr>
          <w:rtl w:val="0"/>
        </w:rPr>
        <w:t xml:space="preserve">Classic adoption models like TAM, TRA, and UTAUT were built for structured, often enterprise or clinical environments. But when the product is a red light bed, wearable, or supplement sold online and hyped by influencers, those models fall short. This research addresses that gap.</w:t>
      </w:r>
    </w:p>
    <w:p w:rsidR="00000000" w:rsidDel="00000000" w:rsidP="00000000" w:rsidRDefault="00000000" w:rsidRPr="00000000" w14:paraId="000001FE">
      <w:pPr>
        <w:spacing w:after="280" w:before="280" w:lineRule="auto"/>
        <w:rPr>
          <w:b w:val="1"/>
        </w:rPr>
      </w:pPr>
      <w:r w:rsidDel="00000000" w:rsidR="00000000" w:rsidRPr="00000000">
        <w:rPr>
          <w:b w:val="1"/>
          <w:rtl w:val="0"/>
        </w:rPr>
        <w:t xml:space="preserve">2.4.1 Theory of Reason Action (TRA)</w:t>
      </w:r>
    </w:p>
    <w:p w:rsidR="00000000" w:rsidDel="00000000" w:rsidP="00000000" w:rsidRDefault="00000000" w:rsidRPr="00000000" w14:paraId="000001FF">
      <w:pPr>
        <w:spacing w:after="240" w:before="240" w:lineRule="auto"/>
        <w:rPr/>
      </w:pPr>
      <w:r w:rsidDel="00000000" w:rsidR="00000000" w:rsidRPr="00000000">
        <w:rPr>
          <w:rtl w:val="0"/>
        </w:rPr>
        <w:t xml:space="preserve">The Theory of Reasoned Action (TRA) (Fishbein &amp; Ajzen, 1975) is one of the earliest behavioral models used to explain how intention leads to action. It proposes that a person’s behavioral intention—the key driver of behavior—is influenced by two main factors:</w:t>
        <w:br w:type="textWrapping"/>
        <w:t xml:space="preserve"> • Attitude toward the behavior (based on personal beliefs and expected outcomes), and</w:t>
        <w:br w:type="textWrapping"/>
        <w:t xml:space="preserve"> • Subjective norms (based on social pressure or the perceived expectations of others).</w:t>
      </w:r>
    </w:p>
    <w:p w:rsidR="00000000" w:rsidDel="00000000" w:rsidP="00000000" w:rsidRDefault="00000000" w:rsidRPr="00000000" w14:paraId="00000200">
      <w:pPr>
        <w:spacing w:after="240" w:before="240" w:lineRule="auto"/>
        <w:rPr/>
      </w:pPr>
      <w:r w:rsidDel="00000000" w:rsidR="00000000" w:rsidRPr="00000000">
        <w:rPr>
          <w:rtl w:val="0"/>
        </w:rPr>
        <w:t xml:space="preserve">In wellness technology, TRA is particularly useful: decisions like adopting a red light bed or smart sleep tracker aren’t made in hospitals—they’re personal and socially influenced. Consumers act on their beliefs (“This helps my sleep”) and community validation (“My friends or favorite influencers swear by it”).</w:t>
      </w:r>
    </w:p>
    <w:p w:rsidR="00000000" w:rsidDel="00000000" w:rsidP="00000000" w:rsidRDefault="00000000" w:rsidRPr="00000000" w14:paraId="00000201">
      <w:pPr>
        <w:spacing w:after="240" w:before="240" w:lineRule="auto"/>
        <w:rPr/>
      </w:pPr>
      <w:r w:rsidDel="00000000" w:rsidR="00000000" w:rsidRPr="00000000">
        <w:rPr>
          <w:rtl w:val="0"/>
        </w:rPr>
        <w:t xml:space="preserve">TRA’s structure is built around four key constructs:</w:t>
      </w:r>
    </w:p>
    <w:p w:rsidR="00000000" w:rsidDel="00000000" w:rsidP="00000000" w:rsidRDefault="00000000" w:rsidRPr="00000000" w14:paraId="00000202">
      <w:pPr>
        <w:numPr>
          <w:ilvl w:val="0"/>
          <w:numId w:val="1"/>
        </w:numPr>
        <w:spacing w:after="0" w:afterAutospacing="0" w:before="240" w:lineRule="auto"/>
        <w:ind w:left="720" w:hanging="360"/>
        <w:rPr/>
      </w:pPr>
      <w:r w:rsidDel="00000000" w:rsidR="00000000" w:rsidRPr="00000000">
        <w:rPr>
          <w:rtl w:val="0"/>
        </w:rPr>
        <w:t xml:space="preserve">Beliefs: perceived outcomes of an action (“Cold plunges boost energy”)</w:t>
        <w:br w:type="textWrapping"/>
      </w:r>
    </w:p>
    <w:p w:rsidR="00000000" w:rsidDel="00000000" w:rsidP="00000000" w:rsidRDefault="00000000" w:rsidRPr="00000000" w14:paraId="00000203">
      <w:pPr>
        <w:numPr>
          <w:ilvl w:val="0"/>
          <w:numId w:val="1"/>
        </w:numPr>
        <w:spacing w:after="0" w:afterAutospacing="0" w:before="0" w:beforeAutospacing="0" w:lineRule="auto"/>
        <w:ind w:left="720" w:hanging="360"/>
        <w:rPr/>
      </w:pPr>
      <w:r w:rsidDel="00000000" w:rsidR="00000000" w:rsidRPr="00000000">
        <w:rPr>
          <w:rtl w:val="0"/>
        </w:rPr>
        <w:t xml:space="preserve">Attitude: personal evaluation of those outcomes</w:t>
        <w:br w:type="textWrapping"/>
      </w:r>
    </w:p>
    <w:p w:rsidR="00000000" w:rsidDel="00000000" w:rsidP="00000000" w:rsidRDefault="00000000" w:rsidRPr="00000000" w14:paraId="00000204">
      <w:pPr>
        <w:numPr>
          <w:ilvl w:val="0"/>
          <w:numId w:val="1"/>
        </w:numPr>
        <w:spacing w:after="0" w:afterAutospacing="0" w:before="0" w:beforeAutospacing="0" w:lineRule="auto"/>
        <w:ind w:left="720" w:hanging="360"/>
        <w:rPr/>
      </w:pPr>
      <w:r w:rsidDel="00000000" w:rsidR="00000000" w:rsidRPr="00000000">
        <w:rPr>
          <w:rtl w:val="0"/>
        </w:rPr>
        <w:t xml:space="preserve">Subjective Norms: perceived social expectations</w:t>
        <w:br w:type="textWrapping"/>
      </w:r>
    </w:p>
    <w:p w:rsidR="00000000" w:rsidDel="00000000" w:rsidP="00000000" w:rsidRDefault="00000000" w:rsidRPr="00000000" w14:paraId="00000205">
      <w:pPr>
        <w:numPr>
          <w:ilvl w:val="0"/>
          <w:numId w:val="1"/>
        </w:numPr>
        <w:spacing w:after="240" w:before="0" w:beforeAutospacing="0" w:lineRule="auto"/>
        <w:ind w:left="720" w:hanging="360"/>
        <w:rPr/>
      </w:pPr>
      <w:r w:rsidDel="00000000" w:rsidR="00000000" w:rsidRPr="00000000">
        <w:rPr>
          <w:rtl w:val="0"/>
        </w:rPr>
        <w:t xml:space="preserve">Intention: motivation to act</w:t>
        <w:br w:type="textWrapping"/>
      </w:r>
    </w:p>
    <w:p w:rsidR="00000000" w:rsidDel="00000000" w:rsidP="00000000" w:rsidRDefault="00000000" w:rsidRPr="00000000" w14:paraId="00000206">
      <w:pPr>
        <w:spacing w:after="240" w:before="240" w:lineRule="auto"/>
        <w:rPr/>
      </w:pPr>
      <w:r w:rsidDel="00000000" w:rsidR="00000000" w:rsidRPr="00000000">
        <w:rPr>
          <w:rtl w:val="0"/>
        </w:rPr>
        <w:t xml:space="preserve">These intentions often predict behavior, especially in voluntary contexts like at-home health tech. TRA has helped explain user decisions around fitness wearables, supplements, or biohacking tools, where social proof and self-optimization beliefs outweigh formal medical endorsement (Shei et al., 2022; Wang et al., 2024).</w:t>
      </w:r>
    </w:p>
    <w:p w:rsidR="00000000" w:rsidDel="00000000" w:rsidP="00000000" w:rsidRDefault="00000000" w:rsidRPr="00000000" w14:paraId="00000207">
      <w:pPr>
        <w:spacing w:after="240" w:before="240" w:lineRule="auto"/>
        <w:rPr>
          <w:b w:val="1"/>
        </w:rPr>
      </w:pPr>
      <w:r w:rsidDel="00000000" w:rsidR="00000000" w:rsidRPr="00000000">
        <w:rPr>
          <w:rtl w:val="0"/>
        </w:rPr>
        <w:t xml:space="preserve">However, TRA assumes rational, conscious decision-making. It underplays affective factors like anxiety or aspiration, and doesn’t address how trust, continued use, or behavioral reinforcement unfold over time—essential in decentralized wellness markets. These gaps highlight the need for models like the Wellness Trust Lifecycle+ (W-TLC+), which go beyond intention and into trust-building across the entire adoption journey.</w:t>
      </w:r>
      <w:r w:rsidDel="00000000" w:rsidR="00000000" w:rsidRPr="00000000">
        <w:rPr>
          <w:rtl w:val="0"/>
        </w:rPr>
      </w:r>
    </w:p>
    <w:p w:rsidR="00000000" w:rsidDel="00000000" w:rsidP="00000000" w:rsidRDefault="00000000" w:rsidRPr="00000000" w14:paraId="00000208">
      <w:pPr>
        <w:pStyle w:val="Heading4"/>
        <w:rPr>
          <w:b w:val="1"/>
        </w:rPr>
      </w:pPr>
      <w:r w:rsidDel="00000000" w:rsidR="00000000" w:rsidRPr="00000000">
        <w:rPr>
          <w:b w:val="1"/>
          <w:rtl w:val="0"/>
        </w:rPr>
        <w:t xml:space="preserve">2.4.2 The Technology Acceptance Model (TAM)</w:t>
      </w:r>
    </w:p>
    <w:p w:rsidR="00000000" w:rsidDel="00000000" w:rsidP="00000000" w:rsidRDefault="00000000" w:rsidRPr="00000000" w14:paraId="00000209">
      <w:pPr>
        <w:spacing w:after="240" w:before="240" w:lineRule="auto"/>
        <w:jc w:val="both"/>
        <w:rPr/>
      </w:pPr>
      <w:r w:rsidDel="00000000" w:rsidR="00000000" w:rsidRPr="00000000">
        <w:rPr>
          <w:rtl w:val="0"/>
        </w:rPr>
        <w:t xml:space="preserve">The Technology Acceptance Model (TAM), developed by Davis (1986, 1989), is one of the most widely applied models for predicting user adoption of technology. Built on the foundation of the Theory of Reasoned Action (TRA), TAM focuses on how users form intentions to use technology based on two key beliefs:</w:t>
      </w:r>
    </w:p>
    <w:p w:rsidR="00000000" w:rsidDel="00000000" w:rsidP="00000000" w:rsidRDefault="00000000" w:rsidRPr="00000000" w14:paraId="0000020A">
      <w:pPr>
        <w:numPr>
          <w:ilvl w:val="0"/>
          <w:numId w:val="16"/>
        </w:numPr>
        <w:spacing w:after="0" w:afterAutospacing="0" w:before="240" w:lineRule="auto"/>
        <w:ind w:left="720" w:hanging="360"/>
        <w:rPr/>
      </w:pPr>
      <w:r w:rsidDel="00000000" w:rsidR="00000000" w:rsidRPr="00000000">
        <w:rPr>
          <w:rtl w:val="0"/>
        </w:rPr>
        <w:t xml:space="preserve">Perceived Usefulness (PU): the degree to which a person believes a system will enhance performance</w:t>
        <w:br w:type="textWrapping"/>
      </w:r>
    </w:p>
    <w:p w:rsidR="00000000" w:rsidDel="00000000" w:rsidP="00000000" w:rsidRDefault="00000000" w:rsidRPr="00000000" w14:paraId="0000020B">
      <w:pPr>
        <w:numPr>
          <w:ilvl w:val="0"/>
          <w:numId w:val="16"/>
        </w:numPr>
        <w:spacing w:after="240" w:before="0" w:beforeAutospacing="0" w:lineRule="auto"/>
        <w:ind w:left="720" w:hanging="360"/>
        <w:rPr/>
      </w:pPr>
      <w:r w:rsidDel="00000000" w:rsidR="00000000" w:rsidRPr="00000000">
        <w:rPr>
          <w:rtl w:val="0"/>
        </w:rPr>
        <w:t xml:space="preserve">Perceived Ease of Use (PEOU): the degree to which the system is free of effort</w:t>
      </w:r>
    </w:p>
    <w:p w:rsidR="00000000" w:rsidDel="00000000" w:rsidP="00000000" w:rsidRDefault="00000000" w:rsidRPr="00000000" w14:paraId="0000020C">
      <w:pPr>
        <w:spacing w:after="240" w:before="240" w:lineRule="auto"/>
        <w:jc w:val="both"/>
        <w:rPr>
          <w:highlight w:val="white"/>
        </w:rPr>
      </w:pPr>
      <w:r w:rsidDel="00000000" w:rsidR="00000000" w:rsidRPr="00000000">
        <w:rPr>
          <w:highlight w:val="white"/>
          <w:rtl w:val="0"/>
        </w:rPr>
        <w:t xml:space="preserve">These beliefs shape a user's attitude, influence their behavioral intention, and ultimately predict actual use (Ma &amp; Liu, 2005). TAM's simplicity and empirical rigor have made it a staple in health tech, especially for tools like EHRs, wearables, and patient portals (Rahimi et al., 2018; Ondogan et al., 2023).</w:t>
      </w:r>
    </w:p>
    <w:p w:rsidR="00000000" w:rsidDel="00000000" w:rsidP="00000000" w:rsidRDefault="00000000" w:rsidRPr="00000000" w14:paraId="0000020D">
      <w:pPr>
        <w:spacing w:after="240" w:before="240" w:lineRule="auto"/>
        <w:jc w:val="both"/>
        <w:rPr>
          <w:highlight w:val="white"/>
        </w:rPr>
      </w:pPr>
      <w:r w:rsidDel="00000000" w:rsidR="00000000" w:rsidRPr="00000000">
        <w:rPr>
          <w:highlight w:val="white"/>
          <w:rtl w:val="0"/>
        </w:rPr>
        <w:t xml:space="preserve">However, TAM falls short in decentralized wellness markets. It assumes users are rational, that utility and usability are enough. But when there’s no FDA approval, no doctor’s order, and no clinical validation—trust, credibility, and perceived risk often matter more than features or convenience (Felber et al., 2024; Pakseresht et al., 2022). In today’s landscape, users aren’t just weighing pros and cons—they’re navigating hype, marketing, and uncertainty.</w:t>
      </w:r>
    </w:p>
    <w:p w:rsidR="00000000" w:rsidDel="00000000" w:rsidP="00000000" w:rsidRDefault="00000000" w:rsidRPr="00000000" w14:paraId="0000020E">
      <w:pPr>
        <w:spacing w:after="240" w:before="240" w:lineRule="auto"/>
        <w:jc w:val="both"/>
        <w:rPr>
          <w:highlight w:val="white"/>
        </w:rPr>
      </w:pPr>
      <w:r w:rsidDel="00000000" w:rsidR="00000000" w:rsidRPr="00000000">
        <w:rPr>
          <w:highlight w:val="white"/>
          <w:rtl w:val="0"/>
        </w:rPr>
        <w:t xml:space="preserve">Your research expands TAM by integrating four key constructs:</w:t>
      </w:r>
    </w:p>
    <w:p w:rsidR="00000000" w:rsidDel="00000000" w:rsidP="00000000" w:rsidRDefault="00000000" w:rsidRPr="00000000" w14:paraId="0000020F">
      <w:pPr>
        <w:numPr>
          <w:ilvl w:val="0"/>
          <w:numId w:val="40"/>
        </w:numPr>
        <w:spacing w:after="0" w:afterAutospacing="0" w:before="240" w:lineRule="auto"/>
        <w:ind w:left="720" w:hanging="360"/>
        <w:rPr>
          <w:highlight w:val="white"/>
        </w:rPr>
      </w:pPr>
      <w:r w:rsidDel="00000000" w:rsidR="00000000" w:rsidRPr="00000000">
        <w:rPr>
          <w:highlight w:val="white"/>
          <w:rtl w:val="0"/>
        </w:rPr>
        <w:t xml:space="preserve">Technology Credibility</w:t>
        <w:br w:type="textWrapping"/>
      </w:r>
    </w:p>
    <w:p w:rsidR="00000000" w:rsidDel="00000000" w:rsidP="00000000" w:rsidRDefault="00000000" w:rsidRPr="00000000" w14:paraId="00000210">
      <w:pPr>
        <w:numPr>
          <w:ilvl w:val="0"/>
          <w:numId w:val="40"/>
        </w:numPr>
        <w:spacing w:after="0" w:afterAutospacing="0" w:before="0" w:beforeAutospacing="0" w:lineRule="auto"/>
        <w:ind w:left="720" w:hanging="360"/>
        <w:rPr>
          <w:highlight w:val="white"/>
        </w:rPr>
      </w:pPr>
      <w:r w:rsidDel="00000000" w:rsidR="00000000" w:rsidRPr="00000000">
        <w:rPr>
          <w:highlight w:val="white"/>
          <w:rtl w:val="0"/>
        </w:rPr>
        <w:t xml:space="preserve">Perceived Risk</w:t>
        <w:br w:type="textWrapping"/>
      </w:r>
    </w:p>
    <w:p w:rsidR="00000000" w:rsidDel="00000000" w:rsidP="00000000" w:rsidRDefault="00000000" w:rsidRPr="00000000" w14:paraId="00000211">
      <w:pPr>
        <w:numPr>
          <w:ilvl w:val="0"/>
          <w:numId w:val="40"/>
        </w:numPr>
        <w:spacing w:after="0" w:afterAutospacing="0" w:before="0" w:beforeAutospacing="0" w:lineRule="auto"/>
        <w:ind w:left="720" w:hanging="360"/>
        <w:rPr>
          <w:highlight w:val="white"/>
        </w:rPr>
      </w:pPr>
      <w:r w:rsidDel="00000000" w:rsidR="00000000" w:rsidRPr="00000000">
        <w:rPr>
          <w:highlight w:val="white"/>
          <w:rtl w:val="0"/>
        </w:rPr>
        <w:t xml:space="preserve">Health Motivation</w:t>
        <w:br w:type="textWrapping"/>
      </w:r>
    </w:p>
    <w:p w:rsidR="00000000" w:rsidDel="00000000" w:rsidP="00000000" w:rsidRDefault="00000000" w:rsidRPr="00000000" w14:paraId="00000212">
      <w:pPr>
        <w:numPr>
          <w:ilvl w:val="0"/>
          <w:numId w:val="40"/>
        </w:numPr>
        <w:spacing w:after="240" w:before="0" w:beforeAutospacing="0" w:lineRule="auto"/>
        <w:ind w:left="720" w:hanging="360"/>
        <w:rPr>
          <w:highlight w:val="white"/>
        </w:rPr>
      </w:pPr>
      <w:r w:rsidDel="00000000" w:rsidR="00000000" w:rsidRPr="00000000">
        <w:rPr>
          <w:highlight w:val="white"/>
          <w:rtl w:val="0"/>
        </w:rPr>
        <w:t xml:space="preserve">Personal Innovativeness</w:t>
      </w:r>
    </w:p>
    <w:p w:rsidR="00000000" w:rsidDel="00000000" w:rsidP="00000000" w:rsidRDefault="00000000" w:rsidRPr="00000000" w14:paraId="00000213">
      <w:pPr>
        <w:jc w:val="both"/>
        <w:rPr/>
      </w:pPr>
      <w:r w:rsidDel="00000000" w:rsidR="00000000" w:rsidRPr="00000000">
        <w:rPr>
          <w:rtl w:val="0"/>
        </w:rPr>
      </w:r>
    </w:p>
    <w:p w:rsidR="00000000" w:rsidDel="00000000" w:rsidP="00000000" w:rsidRDefault="00000000" w:rsidRPr="00000000" w14:paraId="00000214">
      <w:pPr>
        <w:jc w:val="both"/>
        <w:rPr/>
      </w:pPr>
      <w:r w:rsidDel="00000000" w:rsidR="00000000" w:rsidRPr="00000000">
        <w:rPr>
          <w:rtl w:val="0"/>
        </w:rPr>
      </w:r>
    </w:p>
    <w:p w:rsidR="00000000" w:rsidDel="00000000" w:rsidP="00000000" w:rsidRDefault="00000000" w:rsidRPr="00000000" w14:paraId="00000215">
      <w:pPr>
        <w:rPr>
          <w:b w:val="1"/>
          <w:highlight w:val="white"/>
        </w:rPr>
      </w:pPr>
      <w:r w:rsidDel="00000000" w:rsidR="00000000" w:rsidRPr="00000000">
        <w:rPr>
          <w:b w:val="1"/>
          <w:rtl w:val="0"/>
        </w:rPr>
        <w:t xml:space="preserve">Figure 1: The TAM Model </w:t>
      </w:r>
      <w:r w:rsidDel="00000000" w:rsidR="00000000" w:rsidRPr="00000000">
        <w:rPr>
          <w:rtl w:val="0"/>
        </w:rPr>
      </w:r>
    </w:p>
    <w:p w:rsidR="00000000" w:rsidDel="00000000" w:rsidP="00000000" w:rsidRDefault="00000000" w:rsidRPr="00000000" w14:paraId="00000216">
      <w:pPr>
        <w:jc w:val="both"/>
        <w:rPr>
          <w:smallCaps w:val="1"/>
          <w:color w:val="4f81bd"/>
          <w:highlight w:val="white"/>
        </w:rPr>
      </w:pPr>
      <w:r w:rsidDel="00000000" w:rsidR="00000000" w:rsidRPr="00000000">
        <w:rPr>
          <w:rtl w:val="0"/>
        </w:rPr>
      </w:r>
    </w:p>
    <w:p w:rsidR="00000000" w:rsidDel="00000000" w:rsidP="00000000" w:rsidRDefault="00000000" w:rsidRPr="00000000" w14:paraId="00000217">
      <w:pPr>
        <w:jc w:val="both"/>
        <w:rPr>
          <w:smallCaps w:val="1"/>
          <w:color w:val="4f81bd"/>
          <w:highlight w:val="white"/>
        </w:rPr>
      </w:pPr>
      <w:r w:rsidDel="00000000" w:rsidR="00000000" w:rsidRPr="00000000">
        <w:rPr>
          <w:smallCaps w:val="1"/>
          <w:color w:val="4f81bd"/>
        </w:rPr>
        <w:drawing>
          <wp:inline distB="0" distT="0" distL="0" distR="0">
            <wp:extent cx="5943600" cy="1576070"/>
            <wp:effectExtent b="0" l="0" r="0" t="0"/>
            <wp:docPr descr="A diagram of a person's attitude&#10;&#10;AI-generated content may be incorrect." id="1976358309" name="image1.png"/>
            <a:graphic>
              <a:graphicData uri="http://schemas.openxmlformats.org/drawingml/2006/picture">
                <pic:pic>
                  <pic:nvPicPr>
                    <pic:cNvPr descr="A diagram of a person's attitude&#10;&#10;AI-generated content may be incorrect." id="0" name="image1.png"/>
                    <pic:cNvPicPr preferRelativeResize="0"/>
                  </pic:nvPicPr>
                  <pic:blipFill>
                    <a:blip r:embed="rId7"/>
                    <a:srcRect b="0" l="0" r="0" t="0"/>
                    <a:stretch>
                      <a:fillRect/>
                    </a:stretch>
                  </pic:blipFill>
                  <pic:spPr>
                    <a:xfrm>
                      <a:off x="0" y="0"/>
                      <a:ext cx="5943600" cy="1576070"/>
                    </a:xfrm>
                    <a:prstGeom prst="rect"/>
                    <a:ln/>
                  </pic:spPr>
                </pic:pic>
              </a:graphicData>
            </a:graphic>
          </wp:inline>
        </w:drawing>
      </w:r>
      <w:r w:rsidDel="00000000" w:rsidR="00000000" w:rsidRPr="00000000">
        <w:rPr>
          <w:rtl w:val="0"/>
        </w:rPr>
      </w:r>
    </w:p>
    <w:p w:rsidR="00000000" w:rsidDel="00000000" w:rsidP="00000000" w:rsidRDefault="00000000" w:rsidRPr="00000000" w14:paraId="00000218">
      <w:pPr>
        <w:jc w:val="center"/>
        <w:rPr>
          <w:i w:val="1"/>
          <w:sz w:val="20"/>
          <w:szCs w:val="20"/>
          <w:highlight w:val="white"/>
        </w:rPr>
      </w:pPr>
      <w:r w:rsidDel="00000000" w:rsidR="00000000" w:rsidRPr="00000000">
        <w:rPr>
          <w:i w:val="1"/>
          <w:sz w:val="20"/>
          <w:szCs w:val="20"/>
          <w:highlight w:val="white"/>
          <w:rtl w:val="0"/>
        </w:rPr>
        <w:t xml:space="preserve">Source: </w:t>
      </w:r>
      <w:r w:rsidDel="00000000" w:rsidR="00000000" w:rsidRPr="00000000">
        <w:rPr>
          <w:i w:val="1"/>
          <w:sz w:val="20"/>
          <w:szCs w:val="20"/>
          <w:rtl w:val="0"/>
        </w:rPr>
        <w:t xml:space="preserve">Davis </w:t>
      </w:r>
      <w:r w:rsidDel="00000000" w:rsidR="00000000" w:rsidRPr="00000000">
        <w:rPr>
          <w:i w:val="1"/>
          <w:sz w:val="20"/>
          <w:szCs w:val="20"/>
          <w:highlight w:val="white"/>
          <w:rtl w:val="0"/>
        </w:rPr>
        <w:t xml:space="preserve">in 1989</w:t>
      </w:r>
    </w:p>
    <w:p w:rsidR="00000000" w:rsidDel="00000000" w:rsidP="00000000" w:rsidRDefault="00000000" w:rsidRPr="00000000" w14:paraId="00000219">
      <w:pPr>
        <w:jc w:val="left"/>
        <w:rPr>
          <w:i w:val="1"/>
          <w:sz w:val="20"/>
          <w:szCs w:val="20"/>
          <w:highlight w:val="white"/>
        </w:rPr>
      </w:pPr>
      <w:r w:rsidDel="00000000" w:rsidR="00000000" w:rsidRPr="00000000">
        <w:rPr>
          <w:rtl w:val="0"/>
        </w:rPr>
      </w:r>
    </w:p>
    <w:p w:rsidR="00000000" w:rsidDel="00000000" w:rsidP="00000000" w:rsidRDefault="00000000" w:rsidRPr="00000000" w14:paraId="0000021A">
      <w:pPr>
        <w:spacing w:after="240" w:before="240" w:lineRule="auto"/>
        <w:rPr>
          <w:highlight w:val="white"/>
        </w:rPr>
      </w:pPr>
      <w:r w:rsidDel="00000000" w:rsidR="00000000" w:rsidRPr="00000000">
        <w:rPr>
          <w:highlight w:val="white"/>
          <w:rtl w:val="0"/>
        </w:rPr>
        <w:t xml:space="preserve">These additions ground TAM in the real dynamics of wellness adoption, where consumers are not only users—they’re skeptics, believers, and brand ambassadors.</w:t>
      </w:r>
    </w:p>
    <w:p w:rsidR="00000000" w:rsidDel="00000000" w:rsidP="00000000" w:rsidRDefault="00000000" w:rsidRPr="00000000" w14:paraId="0000021B">
      <w:pPr>
        <w:spacing w:after="240" w:before="240" w:lineRule="auto"/>
        <w:rPr>
          <w:highlight w:val="white"/>
        </w:rPr>
      </w:pPr>
      <w:r w:rsidDel="00000000" w:rsidR="00000000" w:rsidRPr="00000000">
        <w:rPr>
          <w:highlight w:val="white"/>
          <w:rtl w:val="0"/>
        </w:rPr>
        <w:t xml:space="preserve">TAM’s influence remains strong. It inspired TAM2 (Venkatesh &amp; Davis, 2000) and TAM3 (Venkatesh &amp; Bala, 2008), which added social norms, facilitating conditions, and self-efficacy. These extensions improved predictive power but were still framed around institutional systems, not influencer-backed health products or DIY diagnostics.</w:t>
      </w:r>
    </w:p>
    <w:p w:rsidR="00000000" w:rsidDel="00000000" w:rsidP="00000000" w:rsidRDefault="00000000" w:rsidRPr="00000000" w14:paraId="0000021C">
      <w:pPr>
        <w:spacing w:after="240" w:before="240" w:lineRule="auto"/>
        <w:rPr>
          <w:i w:val="1"/>
          <w:sz w:val="20"/>
          <w:szCs w:val="20"/>
          <w:highlight w:val="white"/>
        </w:rPr>
      </w:pPr>
      <w:r w:rsidDel="00000000" w:rsidR="00000000" w:rsidRPr="00000000">
        <w:rPr>
          <w:highlight w:val="white"/>
          <w:rtl w:val="0"/>
        </w:rPr>
        <w:t xml:space="preserve">As wellness becomes consumer-led, tech-driven, and ideologically diverse, TAM needs a trust-first update. Your model does just that—moving from adoption based on features to adoption built on belief.</w:t>
      </w:r>
      <w:r w:rsidDel="00000000" w:rsidR="00000000" w:rsidRPr="00000000">
        <w:rPr>
          <w:rtl w:val="0"/>
        </w:rPr>
      </w:r>
    </w:p>
    <w:p w:rsidR="00000000" w:rsidDel="00000000" w:rsidP="00000000" w:rsidRDefault="00000000" w:rsidRPr="00000000" w14:paraId="0000021D">
      <w:pPr>
        <w:pStyle w:val="Heading4"/>
        <w:rPr/>
      </w:pPr>
      <w:r w:rsidDel="00000000" w:rsidR="00000000" w:rsidRPr="00000000">
        <w:rPr>
          <w:b w:val="1"/>
          <w:rtl w:val="0"/>
        </w:rPr>
        <w:t xml:space="preserve">2.4.3 Unified Theory of Acceptance and Use of Technology (UTAUT)</w:t>
      </w:r>
      <w:r w:rsidDel="00000000" w:rsidR="00000000" w:rsidRPr="00000000">
        <w:rPr>
          <w:rtl w:val="0"/>
        </w:rPr>
      </w:r>
    </w:p>
    <w:p w:rsidR="00000000" w:rsidDel="00000000" w:rsidP="00000000" w:rsidRDefault="00000000" w:rsidRPr="00000000" w14:paraId="0000021E">
      <w:pPr>
        <w:spacing w:after="240" w:before="240" w:lineRule="auto"/>
        <w:jc w:val="both"/>
        <w:rPr/>
      </w:pPr>
      <w:r w:rsidDel="00000000" w:rsidR="00000000" w:rsidRPr="00000000">
        <w:rPr>
          <w:rtl w:val="0"/>
        </w:rPr>
        <w:t xml:space="preserve">The Unified Theory of Acceptance and Use of Technology (UTAUT), developed by Venkatesh et al. (2003), integrates elements from eight key models—including TAM, TRA, and TPB—to explain how users adopt and continue using technology. It introduces four core constructs:</w:t>
      </w:r>
    </w:p>
    <w:p w:rsidR="00000000" w:rsidDel="00000000" w:rsidP="00000000" w:rsidRDefault="00000000" w:rsidRPr="00000000" w14:paraId="0000021F">
      <w:pPr>
        <w:numPr>
          <w:ilvl w:val="0"/>
          <w:numId w:val="7"/>
        </w:numPr>
        <w:spacing w:after="0" w:afterAutospacing="0" w:before="240" w:lineRule="auto"/>
        <w:ind w:left="720" w:hanging="360"/>
        <w:rPr/>
      </w:pPr>
      <w:r w:rsidDel="00000000" w:rsidR="00000000" w:rsidRPr="00000000">
        <w:rPr>
          <w:rtl w:val="0"/>
        </w:rPr>
        <w:t xml:space="preserve">Performance Expectancy (PE): belief that the technology will improve task performance</w:t>
        <w:br w:type="textWrapping"/>
      </w:r>
    </w:p>
    <w:p w:rsidR="00000000" w:rsidDel="00000000" w:rsidP="00000000" w:rsidRDefault="00000000" w:rsidRPr="00000000" w14:paraId="00000220">
      <w:pPr>
        <w:numPr>
          <w:ilvl w:val="0"/>
          <w:numId w:val="7"/>
        </w:numPr>
        <w:spacing w:after="0" w:afterAutospacing="0" w:before="0" w:beforeAutospacing="0" w:lineRule="auto"/>
        <w:ind w:left="720" w:hanging="360"/>
        <w:rPr/>
      </w:pPr>
      <w:r w:rsidDel="00000000" w:rsidR="00000000" w:rsidRPr="00000000">
        <w:rPr>
          <w:rtl w:val="0"/>
        </w:rPr>
        <w:t xml:space="preserve">Effort Expectancy (EE): perceived ease of use</w:t>
        <w:br w:type="textWrapping"/>
      </w:r>
    </w:p>
    <w:p w:rsidR="00000000" w:rsidDel="00000000" w:rsidP="00000000" w:rsidRDefault="00000000" w:rsidRPr="00000000" w14:paraId="00000221">
      <w:pPr>
        <w:numPr>
          <w:ilvl w:val="0"/>
          <w:numId w:val="7"/>
        </w:numPr>
        <w:spacing w:after="0" w:afterAutospacing="0" w:before="0" w:beforeAutospacing="0" w:lineRule="auto"/>
        <w:ind w:left="720" w:hanging="360"/>
        <w:rPr/>
      </w:pPr>
      <w:r w:rsidDel="00000000" w:rsidR="00000000" w:rsidRPr="00000000">
        <w:rPr>
          <w:rtl w:val="0"/>
        </w:rPr>
        <w:t xml:space="preserve">Social Influence (SI): perception that others think they should use it</w:t>
        <w:br w:type="textWrapping"/>
      </w:r>
    </w:p>
    <w:p w:rsidR="00000000" w:rsidDel="00000000" w:rsidP="00000000" w:rsidRDefault="00000000" w:rsidRPr="00000000" w14:paraId="00000222">
      <w:pPr>
        <w:numPr>
          <w:ilvl w:val="0"/>
          <w:numId w:val="7"/>
        </w:numPr>
        <w:spacing w:after="240" w:before="0" w:beforeAutospacing="0" w:lineRule="auto"/>
        <w:ind w:left="720" w:hanging="360"/>
        <w:rPr/>
      </w:pPr>
      <w:r w:rsidDel="00000000" w:rsidR="00000000" w:rsidRPr="00000000">
        <w:rPr>
          <w:rtl w:val="0"/>
        </w:rPr>
        <w:t xml:space="preserve">Facilitating Conditions (FC): belief that support or infrastructure exists to enable use</w:t>
        <w:br w:type="textWrapping"/>
      </w:r>
    </w:p>
    <w:p w:rsidR="00000000" w:rsidDel="00000000" w:rsidP="00000000" w:rsidRDefault="00000000" w:rsidRPr="00000000" w14:paraId="00000223">
      <w:pPr>
        <w:spacing w:after="240" w:before="240" w:lineRule="auto"/>
        <w:jc w:val="both"/>
        <w:rPr/>
      </w:pPr>
      <w:r w:rsidDel="00000000" w:rsidR="00000000" w:rsidRPr="00000000">
        <w:rPr>
          <w:rtl w:val="0"/>
        </w:rPr>
        <w:t xml:space="preserve">These are moderated by age, gender, experience, and voluntariness of use (Venkatesh et al., 2003).</w:t>
      </w:r>
    </w:p>
    <w:p w:rsidR="00000000" w:rsidDel="00000000" w:rsidP="00000000" w:rsidRDefault="00000000" w:rsidRPr="00000000" w14:paraId="00000224">
      <w:pPr>
        <w:spacing w:after="280" w:before="280" w:lineRule="auto"/>
        <w:jc w:val="both"/>
        <w:rPr/>
      </w:pPr>
      <w:r w:rsidDel="00000000" w:rsidR="00000000" w:rsidRPr="00000000">
        <w:rPr>
          <w:rtl w:val="0"/>
        </w:rPr>
      </w:r>
    </w:p>
    <w:p w:rsidR="00000000" w:rsidDel="00000000" w:rsidP="00000000" w:rsidRDefault="00000000" w:rsidRPr="00000000" w14:paraId="00000225">
      <w:pPr>
        <w:rPr>
          <w:b w:val="1"/>
          <w:highlight w:val="white"/>
        </w:rPr>
      </w:pPr>
      <w:r w:rsidDel="00000000" w:rsidR="00000000" w:rsidRPr="00000000">
        <w:rPr>
          <w:b w:val="1"/>
          <w:rtl w:val="0"/>
        </w:rPr>
        <w:t xml:space="preserve">Figure 2: The UTAUT Model </w:t>
      </w:r>
      <w:r w:rsidDel="00000000" w:rsidR="00000000" w:rsidRPr="00000000">
        <w:rPr>
          <w:rtl w:val="0"/>
        </w:rPr>
      </w:r>
    </w:p>
    <w:p w:rsidR="00000000" w:rsidDel="00000000" w:rsidP="00000000" w:rsidRDefault="00000000" w:rsidRPr="00000000" w14:paraId="00000226">
      <w:pPr>
        <w:spacing w:after="280" w:before="280" w:lineRule="auto"/>
        <w:rPr/>
      </w:pPr>
      <w:r w:rsidDel="00000000" w:rsidR="00000000" w:rsidRPr="00000000">
        <w:rPr/>
        <w:drawing>
          <wp:inline distB="0" distT="0" distL="0" distR="0">
            <wp:extent cx="5946977" cy="4049865"/>
            <wp:effectExtent b="0" l="0" r="0" t="0"/>
            <wp:docPr descr="A diagram of a structure&#10;&#10;AI-generated content may be incorrect." id="1976358311" name="image6.png"/>
            <a:graphic>
              <a:graphicData uri="http://schemas.openxmlformats.org/drawingml/2006/picture">
                <pic:pic>
                  <pic:nvPicPr>
                    <pic:cNvPr descr="A diagram of a structure&#10;&#10;AI-generated content may be incorrect." id="0" name="image6.png"/>
                    <pic:cNvPicPr preferRelativeResize="0"/>
                  </pic:nvPicPr>
                  <pic:blipFill>
                    <a:blip r:embed="rId8"/>
                    <a:srcRect b="0" l="0" r="0" t="0"/>
                    <a:stretch>
                      <a:fillRect/>
                    </a:stretch>
                  </pic:blipFill>
                  <pic:spPr>
                    <a:xfrm>
                      <a:off x="0" y="0"/>
                      <a:ext cx="5946977" cy="4049865"/>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spacing w:after="280" w:before="280" w:lineRule="auto"/>
        <w:jc w:val="center"/>
        <w:rPr>
          <w:i w:val="1"/>
        </w:rPr>
      </w:pPr>
      <w:r w:rsidDel="00000000" w:rsidR="00000000" w:rsidRPr="00000000">
        <w:rPr>
          <w:i w:val="1"/>
          <w:rtl w:val="0"/>
        </w:rPr>
        <w:t xml:space="preserve">Source: Venkatesh et al., (2003)</w:t>
      </w:r>
    </w:p>
    <w:p w:rsidR="00000000" w:rsidDel="00000000" w:rsidP="00000000" w:rsidRDefault="00000000" w:rsidRPr="00000000" w14:paraId="00000228">
      <w:pPr>
        <w:spacing w:after="240" w:before="240" w:lineRule="auto"/>
        <w:jc w:val="both"/>
        <w:rPr/>
      </w:pPr>
      <w:r w:rsidDel="00000000" w:rsidR="00000000" w:rsidRPr="00000000">
        <w:rPr>
          <w:rtl w:val="0"/>
        </w:rPr>
        <w:t xml:space="preserve">UTAUT has performed well in structured healthcare environments—e.g., EHR systems or hospital-based monitoring tools—where training, support, and policies reinforce adoption (Hossain et al., 2019; Wang &amp; Nah, 2024). But it falls short in consumer-led, decentralized wellness settings, where users are on their own—no IT helpdesk, no onboarding, no clinical mandate.</w:t>
      </w:r>
    </w:p>
    <w:p w:rsidR="00000000" w:rsidDel="00000000" w:rsidP="00000000" w:rsidRDefault="00000000" w:rsidRPr="00000000" w14:paraId="00000229">
      <w:pPr>
        <w:spacing w:after="240" w:before="240" w:lineRule="auto"/>
        <w:jc w:val="both"/>
        <w:rPr/>
      </w:pPr>
      <w:r w:rsidDel="00000000" w:rsidR="00000000" w:rsidRPr="00000000">
        <w:rPr>
          <w:rtl w:val="0"/>
        </w:rPr>
        <w:t xml:space="preserve">In wellness markets:</w:t>
      </w:r>
    </w:p>
    <w:p w:rsidR="00000000" w:rsidDel="00000000" w:rsidP="00000000" w:rsidRDefault="00000000" w:rsidRPr="00000000" w14:paraId="0000022A">
      <w:pPr>
        <w:numPr>
          <w:ilvl w:val="0"/>
          <w:numId w:val="15"/>
        </w:numPr>
        <w:spacing w:after="0" w:afterAutospacing="0" w:before="240" w:lineRule="auto"/>
        <w:ind w:left="720" w:hanging="360"/>
        <w:rPr/>
      </w:pPr>
      <w:r w:rsidDel="00000000" w:rsidR="00000000" w:rsidRPr="00000000">
        <w:rPr>
          <w:rtl w:val="0"/>
        </w:rPr>
        <w:t xml:space="preserve">Social Influence comes from influencers, testimonials, or online tribes, not supervisors (Dendrinos &amp; Spais, 2024).</w:t>
        <w:br w:type="textWrapping"/>
      </w:r>
    </w:p>
    <w:p w:rsidR="00000000" w:rsidDel="00000000" w:rsidP="00000000" w:rsidRDefault="00000000" w:rsidRPr="00000000" w14:paraId="0000022B">
      <w:pPr>
        <w:numPr>
          <w:ilvl w:val="0"/>
          <w:numId w:val="15"/>
        </w:numPr>
        <w:spacing w:after="0" w:afterAutospacing="0" w:before="0" w:beforeAutospacing="0" w:lineRule="auto"/>
        <w:ind w:left="720" w:hanging="360"/>
        <w:rPr/>
      </w:pPr>
      <w:r w:rsidDel="00000000" w:rsidR="00000000" w:rsidRPr="00000000">
        <w:rPr>
          <w:rtl w:val="0"/>
        </w:rPr>
        <w:t xml:space="preserve">Facilitating Conditions are often replaced with YouTube tutorials or Reddit threads.</w:t>
        <w:br w:type="textWrapping"/>
      </w:r>
    </w:p>
    <w:p w:rsidR="00000000" w:rsidDel="00000000" w:rsidP="00000000" w:rsidRDefault="00000000" w:rsidRPr="00000000" w14:paraId="0000022C">
      <w:pPr>
        <w:numPr>
          <w:ilvl w:val="0"/>
          <w:numId w:val="15"/>
        </w:numPr>
        <w:spacing w:after="240" w:before="0" w:beforeAutospacing="0" w:lineRule="auto"/>
        <w:ind w:left="720" w:hanging="360"/>
        <w:rPr/>
      </w:pPr>
      <w:r w:rsidDel="00000000" w:rsidR="00000000" w:rsidRPr="00000000">
        <w:rPr>
          <w:rtl w:val="0"/>
        </w:rPr>
        <w:t xml:space="preserve">Performance Expectancy is subjective and aspirational, not task-bound—centered on vitality, longevity, or optimization (Blut et al., 2022).</w:t>
      </w:r>
    </w:p>
    <w:p w:rsidR="00000000" w:rsidDel="00000000" w:rsidP="00000000" w:rsidRDefault="00000000" w:rsidRPr="00000000" w14:paraId="0000022D">
      <w:pPr>
        <w:spacing w:after="240" w:before="240" w:lineRule="auto"/>
        <w:jc w:val="both"/>
        <w:rPr/>
      </w:pPr>
      <w:r w:rsidDel="00000000" w:rsidR="00000000" w:rsidRPr="00000000">
        <w:rPr>
          <w:rtl w:val="0"/>
        </w:rPr>
        <w:t xml:space="preserve">While UTAUT’s constructs offer a strong foundation, they need to be reframed for consumer wellness. This study does just that—recontextualizing social, psychological, and behavioral forces in environments where trust, credibility, and belief drive adoption more than infrastructure or job performance.</w:t>
      </w:r>
    </w:p>
    <w:p w:rsidR="00000000" w:rsidDel="00000000" w:rsidP="00000000" w:rsidRDefault="00000000" w:rsidRPr="00000000" w14:paraId="0000022E">
      <w:pPr>
        <w:pStyle w:val="Heading4"/>
        <w:rPr/>
      </w:pPr>
      <w:r w:rsidDel="00000000" w:rsidR="00000000" w:rsidRPr="00000000">
        <w:rPr>
          <w:b w:val="1"/>
          <w:rtl w:val="0"/>
        </w:rPr>
        <w:t xml:space="preserve">2.4.4 Diffusion of Innovations (DOI) Theory</w:t>
      </w:r>
      <w:r w:rsidDel="00000000" w:rsidR="00000000" w:rsidRPr="00000000">
        <w:rPr>
          <w:rtl w:val="0"/>
        </w:rPr>
      </w:r>
    </w:p>
    <w:p w:rsidR="00000000" w:rsidDel="00000000" w:rsidP="00000000" w:rsidRDefault="00000000" w:rsidRPr="00000000" w14:paraId="0000022F">
      <w:pPr>
        <w:spacing w:after="240" w:before="240" w:lineRule="auto"/>
        <w:jc w:val="both"/>
        <w:rPr/>
      </w:pPr>
      <w:r w:rsidDel="00000000" w:rsidR="00000000" w:rsidRPr="00000000">
        <w:rPr>
          <w:rtl w:val="0"/>
        </w:rPr>
        <w:t xml:space="preserve">The Diffusion of Innovations (DOI) theory, proposed by Everett Rogers (2003), provides a macro-level framework for understanding how new technologies spread across populations over time. Adoption is influenced by five core attributes:</w:t>
      </w:r>
    </w:p>
    <w:p w:rsidR="00000000" w:rsidDel="00000000" w:rsidP="00000000" w:rsidRDefault="00000000" w:rsidRPr="00000000" w14:paraId="00000230">
      <w:pPr>
        <w:numPr>
          <w:ilvl w:val="0"/>
          <w:numId w:val="30"/>
        </w:numPr>
        <w:spacing w:after="0" w:afterAutospacing="0" w:before="240" w:lineRule="auto"/>
        <w:ind w:left="720" w:hanging="360"/>
        <w:rPr/>
      </w:pPr>
      <w:r w:rsidDel="00000000" w:rsidR="00000000" w:rsidRPr="00000000">
        <w:rPr>
          <w:rtl w:val="0"/>
        </w:rPr>
        <w:t xml:space="preserve">Relative Advantage: Is it better than current options?</w:t>
      </w:r>
    </w:p>
    <w:p w:rsidR="00000000" w:rsidDel="00000000" w:rsidP="00000000" w:rsidRDefault="00000000" w:rsidRPr="00000000" w14:paraId="00000231">
      <w:pPr>
        <w:numPr>
          <w:ilvl w:val="0"/>
          <w:numId w:val="30"/>
        </w:numPr>
        <w:spacing w:after="0" w:afterAutospacing="0" w:before="0" w:beforeAutospacing="0" w:lineRule="auto"/>
        <w:ind w:left="720" w:hanging="360"/>
        <w:rPr/>
      </w:pPr>
      <w:r w:rsidDel="00000000" w:rsidR="00000000" w:rsidRPr="00000000">
        <w:rPr>
          <w:rtl w:val="0"/>
        </w:rPr>
        <w:t xml:space="preserve">Compatibility: Does it align with user values and routines?</w:t>
      </w:r>
    </w:p>
    <w:p w:rsidR="00000000" w:rsidDel="00000000" w:rsidP="00000000" w:rsidRDefault="00000000" w:rsidRPr="00000000" w14:paraId="00000232">
      <w:pPr>
        <w:numPr>
          <w:ilvl w:val="0"/>
          <w:numId w:val="30"/>
        </w:numPr>
        <w:spacing w:after="0" w:afterAutospacing="0" w:before="0" w:beforeAutospacing="0" w:lineRule="auto"/>
        <w:ind w:left="720" w:hanging="360"/>
        <w:rPr/>
      </w:pPr>
      <w:r w:rsidDel="00000000" w:rsidR="00000000" w:rsidRPr="00000000">
        <w:rPr>
          <w:rtl w:val="0"/>
        </w:rPr>
        <w:t xml:space="preserve">Complexity: How easy is it to understand and use?</w:t>
      </w:r>
    </w:p>
    <w:p w:rsidR="00000000" w:rsidDel="00000000" w:rsidP="00000000" w:rsidRDefault="00000000" w:rsidRPr="00000000" w14:paraId="00000233">
      <w:pPr>
        <w:numPr>
          <w:ilvl w:val="0"/>
          <w:numId w:val="30"/>
        </w:numPr>
        <w:spacing w:after="0" w:afterAutospacing="0" w:before="0" w:beforeAutospacing="0" w:lineRule="auto"/>
        <w:ind w:left="720" w:hanging="360"/>
        <w:rPr/>
      </w:pPr>
      <w:r w:rsidDel="00000000" w:rsidR="00000000" w:rsidRPr="00000000">
        <w:rPr>
          <w:rtl w:val="0"/>
        </w:rPr>
        <w:t xml:space="preserve">Trialability: Can it be tried with low commitment?</w:t>
      </w:r>
    </w:p>
    <w:p w:rsidR="00000000" w:rsidDel="00000000" w:rsidP="00000000" w:rsidRDefault="00000000" w:rsidRPr="00000000" w14:paraId="00000234">
      <w:pPr>
        <w:numPr>
          <w:ilvl w:val="0"/>
          <w:numId w:val="30"/>
        </w:numPr>
        <w:spacing w:after="240" w:before="0" w:beforeAutospacing="0" w:lineRule="auto"/>
        <w:ind w:left="720" w:hanging="360"/>
        <w:rPr/>
      </w:pPr>
      <w:r w:rsidDel="00000000" w:rsidR="00000000" w:rsidRPr="00000000">
        <w:rPr>
          <w:rtl w:val="0"/>
        </w:rPr>
        <w:t xml:space="preserve">Observability: Are results visible and compelling?</w:t>
      </w:r>
    </w:p>
    <w:p w:rsidR="00000000" w:rsidDel="00000000" w:rsidP="00000000" w:rsidRDefault="00000000" w:rsidRPr="00000000" w14:paraId="00000235">
      <w:pPr>
        <w:rPr>
          <w:b w:val="1"/>
          <w:highlight w:val="white"/>
        </w:rPr>
      </w:pPr>
      <w:r w:rsidDel="00000000" w:rsidR="00000000" w:rsidRPr="00000000">
        <w:rPr>
          <w:b w:val="1"/>
          <w:rtl w:val="0"/>
        </w:rPr>
        <w:t xml:space="preserve">Figure 3: The DOI Framework </w:t>
      </w:r>
      <w:r w:rsidDel="00000000" w:rsidR="00000000" w:rsidRPr="00000000">
        <w:rPr>
          <w:rtl w:val="0"/>
        </w:rPr>
      </w:r>
    </w:p>
    <w:p w:rsidR="00000000" w:rsidDel="00000000" w:rsidP="00000000" w:rsidRDefault="00000000" w:rsidRPr="00000000" w14:paraId="00000236">
      <w:pPr>
        <w:spacing w:after="280" w:before="280" w:lineRule="auto"/>
        <w:jc w:val="center"/>
        <w:rPr/>
      </w:pPr>
      <w:r w:rsidDel="00000000" w:rsidR="00000000" w:rsidRPr="00000000">
        <w:rPr/>
        <w:drawing>
          <wp:inline distB="0" distT="0" distL="0" distR="0">
            <wp:extent cx="4533228" cy="2655294"/>
            <wp:effectExtent b="0" l="0" r="0" t="0"/>
            <wp:docPr descr="A graph with a line&#10;&#10;AI-generated content may be incorrect." id="1976358310" name="image3.png"/>
            <a:graphic>
              <a:graphicData uri="http://schemas.openxmlformats.org/drawingml/2006/picture">
                <pic:pic>
                  <pic:nvPicPr>
                    <pic:cNvPr descr="A graph with a line&#10;&#10;AI-generated content may be incorrect." id="0" name="image3.png"/>
                    <pic:cNvPicPr preferRelativeResize="0"/>
                  </pic:nvPicPr>
                  <pic:blipFill>
                    <a:blip r:embed="rId9"/>
                    <a:srcRect b="0" l="0" r="0" t="0"/>
                    <a:stretch>
                      <a:fillRect/>
                    </a:stretch>
                  </pic:blipFill>
                  <pic:spPr>
                    <a:xfrm>
                      <a:off x="0" y="0"/>
                      <a:ext cx="4533228" cy="2655294"/>
                    </a:xfrm>
                    <a:prstGeom prst="rect"/>
                    <a:ln/>
                  </pic:spPr>
                </pic:pic>
              </a:graphicData>
            </a:graphic>
          </wp:inline>
        </w:drawing>
      </w:r>
      <w:r w:rsidDel="00000000" w:rsidR="00000000" w:rsidRPr="00000000">
        <w:rPr>
          <w:rtl w:val="0"/>
        </w:rPr>
      </w:r>
    </w:p>
    <w:p w:rsidR="00000000" w:rsidDel="00000000" w:rsidP="00000000" w:rsidRDefault="00000000" w:rsidRPr="00000000" w14:paraId="00000237">
      <w:pPr>
        <w:spacing w:after="280" w:before="280" w:lineRule="auto"/>
        <w:jc w:val="center"/>
        <w:rPr>
          <w:i w:val="1"/>
        </w:rPr>
      </w:pPr>
      <w:r w:rsidDel="00000000" w:rsidR="00000000" w:rsidRPr="00000000">
        <w:rPr>
          <w:i w:val="1"/>
          <w:rtl w:val="0"/>
        </w:rPr>
        <w:t xml:space="preserve">Source: Everett Rogers (2003)</w:t>
      </w:r>
    </w:p>
    <w:p w:rsidR="00000000" w:rsidDel="00000000" w:rsidP="00000000" w:rsidRDefault="00000000" w:rsidRPr="00000000" w14:paraId="00000238">
      <w:pPr>
        <w:spacing w:after="240" w:before="240" w:lineRule="auto"/>
        <w:jc w:val="both"/>
        <w:rPr/>
      </w:pPr>
      <w:r w:rsidDel="00000000" w:rsidR="00000000" w:rsidRPr="00000000">
        <w:rPr>
          <w:rtl w:val="0"/>
        </w:rPr>
        <w:t xml:space="preserve">DOI explains early interest in wellness tech like smart mattresses, wearables, red light masks, and sleep rings. These score high in observability—users see recovery scores or sleep metrics—and often offer trialability via freemium models or return guarantees. Relative advantage is marketed through energy, focus, and longevity claims, particularly appealing to the self-optimizing consumer.</w:t>
      </w:r>
    </w:p>
    <w:p w:rsidR="00000000" w:rsidDel="00000000" w:rsidP="00000000" w:rsidRDefault="00000000" w:rsidRPr="00000000" w14:paraId="00000239">
      <w:pPr>
        <w:spacing w:after="240" w:before="240" w:lineRule="auto"/>
        <w:jc w:val="both"/>
        <w:rPr/>
      </w:pPr>
      <w:r w:rsidDel="00000000" w:rsidR="00000000" w:rsidRPr="00000000">
        <w:rPr>
          <w:rtl w:val="0"/>
        </w:rPr>
        <w:t xml:space="preserve">However, DOI assumes a linear, socially supported adoption curve—a model fit for institutional or peer-driven diffusion (Sahin, 2006). That breaks down in today’s fragmented wellness tech space. Consumers aren’t waiting for physician validation—they’re driven by influencers, anecdotes, and personal experiments, not gatekeepers.</w:t>
      </w:r>
    </w:p>
    <w:p w:rsidR="00000000" w:rsidDel="00000000" w:rsidP="00000000" w:rsidRDefault="00000000" w:rsidRPr="00000000" w14:paraId="0000023A">
      <w:pPr>
        <w:spacing w:after="240" w:before="240" w:lineRule="auto"/>
        <w:jc w:val="both"/>
        <w:rPr/>
      </w:pPr>
      <w:r w:rsidDel="00000000" w:rsidR="00000000" w:rsidRPr="00000000">
        <w:rPr>
          <w:rtl w:val="0"/>
        </w:rPr>
        <w:t xml:space="preserve">DOI also lacks mechanisms to address the trust vacuum in consumer-driven markets. It doesn’t account for brand credibility, community influence, or perceived authenticity, all crucial for adoption in wellness where clinical validation is often absent and regulation is minimal (Vredenburg et al., 2020; Raderstorf et al., 2022).</w:t>
      </w:r>
    </w:p>
    <w:p w:rsidR="00000000" w:rsidDel="00000000" w:rsidP="00000000" w:rsidRDefault="00000000" w:rsidRPr="00000000" w14:paraId="0000023B">
      <w:pPr>
        <w:spacing w:after="240" w:before="240" w:lineRule="auto"/>
        <w:jc w:val="both"/>
        <w:rPr/>
      </w:pPr>
      <w:r w:rsidDel="00000000" w:rsidR="00000000" w:rsidRPr="00000000">
        <w:rPr>
          <w:rtl w:val="0"/>
        </w:rPr>
        <w:t xml:space="preserve">For example, "observability" today might mean feeling better (subjectively) rather than tracking medically measurable outcomes. And "trialability" might involve skepticism-fueled curiosity rather than structured experimentation.</w:t>
      </w:r>
    </w:p>
    <w:p w:rsidR="00000000" w:rsidDel="00000000" w:rsidP="00000000" w:rsidRDefault="00000000" w:rsidRPr="00000000" w14:paraId="0000023C">
      <w:pPr>
        <w:spacing w:after="240" w:before="240" w:lineRule="auto"/>
        <w:jc w:val="both"/>
        <w:rPr/>
      </w:pPr>
      <w:r w:rsidDel="00000000" w:rsidR="00000000" w:rsidRPr="00000000">
        <w:rPr>
          <w:rtl w:val="0"/>
        </w:rPr>
        <w:t xml:space="preserve">Ultimately, while DOI remains helpful in outlining general adoption trajectories, it needs augmentation. Your research extends this model by integrating trust, credibility, and behavioral intention as dynamic factors that govern adoption in modern, unregulated wellness innovation ecosystems. This sets the stage for the Wellness Trust Lifecycle Plus (W-TLC⁺) model introduced later.</w:t>
      </w:r>
    </w:p>
    <w:p w:rsidR="00000000" w:rsidDel="00000000" w:rsidP="00000000" w:rsidRDefault="00000000" w:rsidRPr="00000000" w14:paraId="0000023D">
      <w:pPr>
        <w:rPr>
          <w:b w:val="1"/>
          <w:highlight w:val="yellow"/>
        </w:rPr>
      </w:pPr>
      <w:r w:rsidDel="00000000" w:rsidR="00000000" w:rsidRPr="00000000">
        <w:rPr>
          <w:b w:val="1"/>
          <w:highlight w:val="white"/>
          <w:rtl w:val="0"/>
        </w:rPr>
        <w:t xml:space="preserve">2.5 The Conceptual Model</w:t>
      </w:r>
      <w:r w:rsidDel="00000000" w:rsidR="00000000" w:rsidRPr="00000000">
        <w:rPr>
          <w:b w:val="1"/>
          <w:highlight w:val="yellow"/>
          <w:rtl w:val="0"/>
        </w:rPr>
        <w:t xml:space="preserve"> </w:t>
      </w:r>
    </w:p>
    <w:p w:rsidR="00000000" w:rsidDel="00000000" w:rsidP="00000000" w:rsidRDefault="00000000" w:rsidRPr="00000000" w14:paraId="0000023E">
      <w:pPr>
        <w:spacing w:after="240" w:before="240" w:lineRule="auto"/>
        <w:jc w:val="both"/>
        <w:rPr/>
      </w:pPr>
      <w:r w:rsidDel="00000000" w:rsidR="00000000" w:rsidRPr="00000000">
        <w:rPr>
          <w:rtl w:val="0"/>
        </w:rPr>
        <w:t xml:space="preserve">Traditional technology adoption models—such as TRA, TAM, UTAUT, and DOI—have provided foundational insights into behavioral intention, diffusion, and user behavior. Yet these frameworks were developed for institutional, well-regulated settings—where clinical validation, professional oversight, and organizational support are assumed.</w:t>
      </w:r>
    </w:p>
    <w:p w:rsidR="00000000" w:rsidDel="00000000" w:rsidP="00000000" w:rsidRDefault="00000000" w:rsidRPr="00000000" w14:paraId="0000023F">
      <w:pPr>
        <w:spacing w:after="240" w:before="240" w:lineRule="auto"/>
        <w:jc w:val="both"/>
        <w:rPr/>
      </w:pPr>
      <w:r w:rsidDel="00000000" w:rsidR="00000000" w:rsidRPr="00000000">
        <w:rPr>
          <w:rtl w:val="0"/>
        </w:rPr>
        <w:t xml:space="preserve">Today’s wellness technologies operate outside those boundaries. They’re marketed directly to consumers, often unregulated, and adopted in low-trust, high-noise environments (Mennella et al., 2024). In these spaces, adoption is influenced not just by utility or ease—but by perceived credibility, risk, motivation, and personal innovativeness (Ayanwale et al., 2024).</w:t>
      </w:r>
    </w:p>
    <w:p w:rsidR="00000000" w:rsidDel="00000000" w:rsidP="00000000" w:rsidRDefault="00000000" w:rsidRPr="00000000" w14:paraId="00000240">
      <w:pPr>
        <w:spacing w:after="240" w:before="240" w:lineRule="auto"/>
        <w:jc w:val="both"/>
        <w:rPr/>
      </w:pPr>
      <w:r w:rsidDel="00000000" w:rsidR="00000000" w:rsidRPr="00000000">
        <w:rPr>
          <w:rtl w:val="0"/>
        </w:rPr>
        <w:t xml:space="preserve">Our conceptual model, the Wellness Trust Lifecycle Plus (W-TLC+), was developed to reflect these realities. It retains core UTAUT constructs:</w:t>
      </w:r>
    </w:p>
    <w:p w:rsidR="00000000" w:rsidDel="00000000" w:rsidP="00000000" w:rsidRDefault="00000000" w:rsidRPr="00000000" w14:paraId="00000241">
      <w:pPr>
        <w:numPr>
          <w:ilvl w:val="0"/>
          <w:numId w:val="5"/>
        </w:numPr>
        <w:spacing w:after="0" w:afterAutospacing="0" w:before="240" w:lineRule="auto"/>
        <w:ind w:left="720" w:hanging="360"/>
        <w:rPr/>
      </w:pPr>
      <w:r w:rsidDel="00000000" w:rsidR="00000000" w:rsidRPr="00000000">
        <w:rPr>
          <w:rtl w:val="0"/>
        </w:rPr>
        <w:t xml:space="preserve">Performance Expectancy (PE)</w:t>
        <w:br w:type="textWrapping"/>
      </w:r>
    </w:p>
    <w:p w:rsidR="00000000" w:rsidDel="00000000" w:rsidP="00000000" w:rsidRDefault="00000000" w:rsidRPr="00000000" w14:paraId="00000242">
      <w:pPr>
        <w:numPr>
          <w:ilvl w:val="0"/>
          <w:numId w:val="5"/>
        </w:numPr>
        <w:spacing w:after="0" w:afterAutospacing="0" w:before="0" w:beforeAutospacing="0" w:lineRule="auto"/>
        <w:ind w:left="720" w:hanging="360"/>
        <w:rPr/>
      </w:pPr>
      <w:r w:rsidDel="00000000" w:rsidR="00000000" w:rsidRPr="00000000">
        <w:rPr>
          <w:rtl w:val="0"/>
        </w:rPr>
        <w:t xml:space="preserve">Effort Expectancy (EE)</w:t>
        <w:br w:type="textWrapping"/>
      </w:r>
    </w:p>
    <w:p w:rsidR="00000000" w:rsidDel="00000000" w:rsidP="00000000" w:rsidRDefault="00000000" w:rsidRPr="00000000" w14:paraId="00000243">
      <w:pPr>
        <w:numPr>
          <w:ilvl w:val="0"/>
          <w:numId w:val="5"/>
        </w:numPr>
        <w:spacing w:after="0" w:afterAutospacing="0" w:before="0" w:beforeAutospacing="0" w:lineRule="auto"/>
        <w:ind w:left="720" w:hanging="360"/>
        <w:rPr/>
      </w:pPr>
      <w:r w:rsidDel="00000000" w:rsidR="00000000" w:rsidRPr="00000000">
        <w:rPr>
          <w:rtl w:val="0"/>
        </w:rPr>
        <w:t xml:space="preserve">Social Influence (SI)</w:t>
        <w:br w:type="textWrapping"/>
      </w:r>
    </w:p>
    <w:p w:rsidR="00000000" w:rsidDel="00000000" w:rsidP="00000000" w:rsidRDefault="00000000" w:rsidRPr="00000000" w14:paraId="00000244">
      <w:pPr>
        <w:numPr>
          <w:ilvl w:val="0"/>
          <w:numId w:val="5"/>
        </w:numPr>
        <w:spacing w:after="240" w:before="0" w:beforeAutospacing="0" w:lineRule="auto"/>
        <w:ind w:left="720" w:hanging="360"/>
        <w:rPr/>
      </w:pPr>
      <w:r w:rsidDel="00000000" w:rsidR="00000000" w:rsidRPr="00000000">
        <w:rPr>
          <w:rtl w:val="0"/>
        </w:rPr>
        <w:t xml:space="preserve">Facilitating Conditions (FC)</w:t>
        <w:br w:type="textWrapping"/>
      </w:r>
    </w:p>
    <w:p w:rsidR="00000000" w:rsidDel="00000000" w:rsidP="00000000" w:rsidRDefault="00000000" w:rsidRPr="00000000" w14:paraId="00000245">
      <w:pPr>
        <w:spacing w:after="240" w:before="240" w:lineRule="auto"/>
        <w:jc w:val="both"/>
        <w:rPr/>
      </w:pPr>
      <w:r w:rsidDel="00000000" w:rsidR="00000000" w:rsidRPr="00000000">
        <w:rPr>
          <w:rtl w:val="0"/>
        </w:rPr>
        <w:t xml:space="preserve">But critically, it adds trust-centric and individual-level variables:</w:t>
      </w:r>
    </w:p>
    <w:p w:rsidR="00000000" w:rsidDel="00000000" w:rsidP="00000000" w:rsidRDefault="00000000" w:rsidRPr="00000000" w14:paraId="00000246">
      <w:pPr>
        <w:numPr>
          <w:ilvl w:val="0"/>
          <w:numId w:val="14"/>
        </w:numPr>
        <w:spacing w:after="0" w:afterAutospacing="0" w:before="240" w:lineRule="auto"/>
        <w:ind w:left="720" w:hanging="360"/>
        <w:rPr/>
      </w:pPr>
      <w:r w:rsidDel="00000000" w:rsidR="00000000" w:rsidRPr="00000000">
        <w:rPr>
          <w:rtl w:val="0"/>
        </w:rPr>
        <w:t xml:space="preserve">Technology Credibility (TC) — perceived trustworthiness of the tool, shaped by brand, peer stories, and influencer validation (Mensah &amp; Khan, 2024)</w:t>
        <w:br w:type="textWrapping"/>
      </w:r>
    </w:p>
    <w:p w:rsidR="00000000" w:rsidDel="00000000" w:rsidP="00000000" w:rsidRDefault="00000000" w:rsidRPr="00000000" w14:paraId="00000247">
      <w:pPr>
        <w:numPr>
          <w:ilvl w:val="0"/>
          <w:numId w:val="14"/>
        </w:numPr>
        <w:spacing w:after="0" w:afterAutospacing="0" w:before="0" w:beforeAutospacing="0" w:lineRule="auto"/>
        <w:ind w:left="720" w:hanging="360"/>
        <w:rPr/>
      </w:pPr>
      <w:r w:rsidDel="00000000" w:rsidR="00000000" w:rsidRPr="00000000">
        <w:rPr>
          <w:rtl w:val="0"/>
        </w:rPr>
        <w:t xml:space="preserve">Perceived Risk (PR) — concerns about harm, efficacy, or wasted time/money</w:t>
        <w:br w:type="textWrapping"/>
      </w:r>
    </w:p>
    <w:p w:rsidR="00000000" w:rsidDel="00000000" w:rsidP="00000000" w:rsidRDefault="00000000" w:rsidRPr="00000000" w14:paraId="00000248">
      <w:pPr>
        <w:numPr>
          <w:ilvl w:val="0"/>
          <w:numId w:val="14"/>
        </w:numPr>
        <w:spacing w:after="240" w:before="0" w:beforeAutospacing="0" w:lineRule="auto"/>
        <w:ind w:left="720" w:hanging="360"/>
        <w:rPr/>
      </w:pPr>
      <w:r w:rsidDel="00000000" w:rsidR="00000000" w:rsidRPr="00000000">
        <w:rPr>
          <w:rtl w:val="0"/>
        </w:rPr>
        <w:t xml:space="preserve">Health Motivation (HM) and Personal Innovativeness (PI) — key drivers of Behavioral Intention (BI) and Actual Use (AUT) in self-directed wellness contexts (Hassan et al., 2022)</w:t>
        <w:br w:type="textWrapping"/>
      </w:r>
    </w:p>
    <w:p w:rsidR="00000000" w:rsidDel="00000000" w:rsidP="00000000" w:rsidRDefault="00000000" w:rsidRPr="00000000" w14:paraId="00000249">
      <w:pPr>
        <w:spacing w:after="240" w:before="240" w:lineRule="auto"/>
        <w:jc w:val="both"/>
        <w:rPr/>
      </w:pPr>
      <w:r w:rsidDel="00000000" w:rsidR="00000000" w:rsidRPr="00000000">
        <w:rPr>
          <w:rtl w:val="0"/>
        </w:rPr>
        <w:t xml:space="preserve">This model recognizes that adoption is a dynamic process, especially in decentralized markets. It incorporates behavioral, emotional, and cognitive dimensions absent from traditional frameworks, offering a richer view of how users decide, adopt, and sustain use of wellness technologies.</w:t>
      </w:r>
      <w:r w:rsidDel="00000000" w:rsidR="00000000" w:rsidRPr="00000000">
        <w:rPr>
          <w:rtl w:val="0"/>
        </w:rPr>
      </w:r>
    </w:p>
    <w:p w:rsidR="00000000" w:rsidDel="00000000" w:rsidP="00000000" w:rsidRDefault="00000000" w:rsidRPr="00000000" w14:paraId="0000024A">
      <w:pPr>
        <w:jc w:val="both"/>
        <w:rPr>
          <w:smallCaps w:val="1"/>
          <w:color w:val="0d0d0d"/>
          <w:highlight w:val="white"/>
        </w:rPr>
      </w:pPr>
      <w:r w:rsidDel="00000000" w:rsidR="00000000" w:rsidRPr="00000000">
        <w:rPr>
          <w:rtl w:val="0"/>
        </w:rPr>
      </w:r>
    </w:p>
    <w:p w:rsidR="00000000" w:rsidDel="00000000" w:rsidP="00000000" w:rsidRDefault="00000000" w:rsidRPr="00000000" w14:paraId="0000024B">
      <w:pPr>
        <w:jc w:val="center"/>
        <w:rPr>
          <w:b w:val="1"/>
          <w:highlight w:val="yellow"/>
        </w:rPr>
      </w:pPr>
      <w:r w:rsidDel="00000000" w:rsidR="00000000" w:rsidRPr="00000000">
        <w:rPr>
          <w:b w:val="1"/>
          <w:highlight w:val="white"/>
          <w:rtl w:val="0"/>
        </w:rPr>
        <w:t xml:space="preserve">Figure 5: The Conceptual Model</w:t>
      </w:r>
      <w:r w:rsidDel="00000000" w:rsidR="00000000" w:rsidRPr="00000000">
        <w:rPr>
          <w:rtl w:val="0"/>
        </w:rPr>
      </w:r>
    </w:p>
    <w:p w:rsidR="00000000" w:rsidDel="00000000" w:rsidP="00000000" w:rsidRDefault="00000000" w:rsidRPr="00000000" w14:paraId="0000024C">
      <w:pPr>
        <w:jc w:val="both"/>
        <w:rPr>
          <w:smallCaps w:val="1"/>
          <w:color w:val="1f497d"/>
          <w:highlight w:val="white"/>
        </w:rPr>
      </w:pPr>
      <w:r w:rsidDel="00000000" w:rsidR="00000000" w:rsidRPr="00000000">
        <w:rPr>
          <w:smallCaps w:val="1"/>
          <w:color w:val="1f497d"/>
        </w:rPr>
        <w:drawing>
          <wp:inline distB="0" distT="0" distL="0" distR="0">
            <wp:extent cx="5794696" cy="2690016"/>
            <wp:effectExtent b="0" l="0" r="0" t="0"/>
            <wp:docPr descr="A diagram of a flowchart&#10;&#10;AI-generated content may be incorrect." id="1976358313" name="image2.png"/>
            <a:graphic>
              <a:graphicData uri="http://schemas.openxmlformats.org/drawingml/2006/picture">
                <pic:pic>
                  <pic:nvPicPr>
                    <pic:cNvPr descr="A diagram of a flowchart&#10;&#10;AI-generated content may be incorrect." id="0" name="image2.png"/>
                    <pic:cNvPicPr preferRelativeResize="0"/>
                  </pic:nvPicPr>
                  <pic:blipFill>
                    <a:blip r:embed="rId10"/>
                    <a:srcRect b="16676" l="2506" r="0" t="2862"/>
                    <a:stretch>
                      <a:fillRect/>
                    </a:stretch>
                  </pic:blipFill>
                  <pic:spPr>
                    <a:xfrm>
                      <a:off x="0" y="0"/>
                      <a:ext cx="5794696" cy="2690016"/>
                    </a:xfrm>
                    <a:prstGeom prst="rect"/>
                    <a:ln/>
                  </pic:spPr>
                </pic:pic>
              </a:graphicData>
            </a:graphic>
          </wp:inline>
        </w:drawing>
      </w:r>
      <w:r w:rsidDel="00000000" w:rsidR="00000000" w:rsidRPr="00000000">
        <w:rPr>
          <w:rtl w:val="0"/>
        </w:rPr>
      </w:r>
    </w:p>
    <w:p w:rsidR="00000000" w:rsidDel="00000000" w:rsidP="00000000" w:rsidRDefault="00000000" w:rsidRPr="00000000" w14:paraId="0000024D">
      <w:pPr>
        <w:jc w:val="center"/>
        <w:rPr>
          <w:i w:val="1"/>
          <w:highlight w:val="white"/>
        </w:rPr>
      </w:pPr>
      <w:r w:rsidDel="00000000" w:rsidR="00000000" w:rsidRPr="00000000">
        <w:rPr>
          <w:i w:val="1"/>
          <w:highlight w:val="white"/>
          <w:rtl w:val="0"/>
        </w:rPr>
        <w:t xml:space="preserve">Source: Generated by Author</w:t>
      </w:r>
    </w:p>
    <w:p w:rsidR="00000000" w:rsidDel="00000000" w:rsidP="00000000" w:rsidRDefault="00000000" w:rsidRPr="00000000" w14:paraId="0000024E">
      <w:pPr>
        <w:rPr>
          <w:color w:val="1f497d"/>
        </w:rPr>
      </w:pPr>
      <w:r w:rsidDel="00000000" w:rsidR="00000000" w:rsidRPr="00000000">
        <w:rPr>
          <w:rtl w:val="0"/>
        </w:rPr>
      </w:r>
    </w:p>
    <w:p w:rsidR="00000000" w:rsidDel="00000000" w:rsidP="00000000" w:rsidRDefault="00000000" w:rsidRPr="00000000" w14:paraId="0000024F">
      <w:pPr>
        <w:jc w:val="both"/>
        <w:rPr/>
      </w:pPr>
      <w:r w:rsidDel="00000000" w:rsidR="00000000" w:rsidRPr="00000000">
        <w:rPr>
          <w:rtl w:val="0"/>
        </w:rPr>
        <w:t xml:space="preserve">By integrating structural, social, and psychological factors, W-TLC⁺ helps bridge the gap between empirical theory and real-world behavior—where trust, belief, and autonomy shape the future of preventive health innovation.</w:t>
      </w:r>
    </w:p>
    <w:p w:rsidR="00000000" w:rsidDel="00000000" w:rsidP="00000000" w:rsidRDefault="00000000" w:rsidRPr="00000000" w14:paraId="00000250">
      <w:pPr>
        <w:rPr>
          <w:color w:val="c0504d"/>
        </w:rPr>
      </w:pPr>
      <w:r w:rsidDel="00000000" w:rsidR="00000000" w:rsidRPr="00000000">
        <w:rPr>
          <w:rtl w:val="0"/>
        </w:rPr>
      </w:r>
    </w:p>
    <w:p w:rsidR="00000000" w:rsidDel="00000000" w:rsidP="00000000" w:rsidRDefault="00000000" w:rsidRPr="00000000" w14:paraId="00000251">
      <w:pPr>
        <w:rPr>
          <w:b w:val="1"/>
        </w:rPr>
      </w:pPr>
      <w:r w:rsidDel="00000000" w:rsidR="00000000" w:rsidRPr="00000000">
        <w:rPr>
          <w:rtl w:val="0"/>
        </w:rPr>
      </w:r>
    </w:p>
    <w:p w:rsidR="00000000" w:rsidDel="00000000" w:rsidP="00000000" w:rsidRDefault="00000000" w:rsidRPr="00000000" w14:paraId="00000252">
      <w:pPr>
        <w:rPr>
          <w:b w:val="1"/>
        </w:rPr>
      </w:pPr>
      <w:r w:rsidDel="00000000" w:rsidR="00000000" w:rsidRPr="00000000">
        <w:rPr>
          <w:b w:val="1"/>
          <w:rtl w:val="0"/>
        </w:rPr>
        <w:t xml:space="preserve">2.5 Hypothesis Development </w:t>
      </w:r>
    </w:p>
    <w:p w:rsidR="00000000" w:rsidDel="00000000" w:rsidP="00000000" w:rsidRDefault="00000000" w:rsidRPr="00000000" w14:paraId="00000253">
      <w:pPr>
        <w:rPr>
          <w:b w:val="1"/>
        </w:rPr>
      </w:pPr>
      <w:r w:rsidDel="00000000" w:rsidR="00000000" w:rsidRPr="00000000">
        <w:rPr>
          <w:rtl w:val="0"/>
        </w:rPr>
      </w:r>
    </w:p>
    <w:p w:rsidR="00000000" w:rsidDel="00000000" w:rsidP="00000000" w:rsidRDefault="00000000" w:rsidRPr="00000000" w14:paraId="00000254">
      <w:pPr>
        <w:jc w:val="both"/>
        <w:rPr/>
      </w:pPr>
      <w:r w:rsidDel="00000000" w:rsidR="00000000" w:rsidRPr="00000000">
        <w:rPr>
          <w:rtl w:val="0"/>
        </w:rPr>
        <w:t xml:space="preserve">This section outlines hypotheses derived from the proposed conceptual model, integrating extensions to UTAUT, TAM, and TRA tailored to decentralized, low-trust wellness technology environments. Constructs are grouped into core cognitive, social, and psychological drivers.</w:t>
      </w:r>
    </w:p>
    <w:p w:rsidR="00000000" w:rsidDel="00000000" w:rsidP="00000000" w:rsidRDefault="00000000" w:rsidRPr="00000000" w14:paraId="00000255">
      <w:pPr>
        <w:jc w:val="both"/>
        <w:rPr/>
      </w:pPr>
      <w:r w:rsidDel="00000000" w:rsidR="00000000" w:rsidRPr="00000000">
        <w:rPr>
          <w:rtl w:val="0"/>
        </w:rPr>
      </w:r>
    </w:p>
    <w:p w:rsidR="00000000" w:rsidDel="00000000" w:rsidP="00000000" w:rsidRDefault="00000000" w:rsidRPr="00000000" w14:paraId="00000256">
      <w:pPr>
        <w:rPr>
          <w:b w:val="1"/>
        </w:rPr>
      </w:pPr>
      <w:r w:rsidDel="00000000" w:rsidR="00000000" w:rsidRPr="00000000">
        <w:rPr>
          <w:b w:val="1"/>
          <w:rtl w:val="0"/>
        </w:rPr>
        <w:t xml:space="preserve">2.5.1 Performance Expectancy (PE) </w:t>
      </w:r>
    </w:p>
    <w:p w:rsidR="00000000" w:rsidDel="00000000" w:rsidP="00000000" w:rsidRDefault="00000000" w:rsidRPr="00000000" w14:paraId="00000257">
      <w:pPr>
        <w:spacing w:after="240" w:before="240" w:lineRule="auto"/>
        <w:jc w:val="both"/>
        <w:rPr/>
      </w:pPr>
      <w:r w:rsidDel="00000000" w:rsidR="00000000" w:rsidRPr="00000000">
        <w:rPr>
          <w:rtl w:val="0"/>
        </w:rPr>
        <w:t xml:space="preserve">PE refers to the belief that using a wellness technology—e.g., sleep trackers, red light masks—will lead to health improvements (Alblooshi &amp; Aziati, 2022). In unregulated consumer wellness markets, users assess benefit through perceived value and peer influence rather than clinical validation (Camilleri, 2024; Shi et al., 2022).</w:t>
      </w:r>
    </w:p>
    <w:p w:rsidR="00000000" w:rsidDel="00000000" w:rsidP="00000000" w:rsidRDefault="00000000" w:rsidRPr="00000000" w14:paraId="00000258">
      <w:pPr>
        <w:numPr>
          <w:ilvl w:val="0"/>
          <w:numId w:val="38"/>
        </w:numPr>
        <w:spacing w:after="0" w:afterAutospacing="0" w:before="240" w:lineRule="auto"/>
        <w:ind w:left="720" w:hanging="360"/>
        <w:jc w:val="both"/>
        <w:rPr/>
      </w:pPr>
      <w:r w:rsidDel="00000000" w:rsidR="00000000" w:rsidRPr="00000000">
        <w:rPr>
          <w:rtl w:val="0"/>
        </w:rPr>
        <w:t xml:space="preserve">H1: Performance Expectancy influences Effort Expectancy.</w:t>
        <w:br w:type="textWrapping"/>
      </w:r>
    </w:p>
    <w:p w:rsidR="00000000" w:rsidDel="00000000" w:rsidP="00000000" w:rsidRDefault="00000000" w:rsidRPr="00000000" w14:paraId="00000259">
      <w:pPr>
        <w:numPr>
          <w:ilvl w:val="0"/>
          <w:numId w:val="38"/>
        </w:numPr>
        <w:spacing w:after="240" w:before="0" w:beforeAutospacing="0" w:lineRule="auto"/>
        <w:ind w:left="720" w:hanging="360"/>
        <w:jc w:val="both"/>
        <w:rPr/>
      </w:pPr>
      <w:r w:rsidDel="00000000" w:rsidR="00000000" w:rsidRPr="00000000">
        <w:rPr>
          <w:rtl w:val="0"/>
        </w:rPr>
        <w:t xml:space="preserve">H2: Performance Expectancy impacts Social Influence.</w:t>
      </w:r>
    </w:p>
    <w:p w:rsidR="00000000" w:rsidDel="00000000" w:rsidP="00000000" w:rsidRDefault="00000000" w:rsidRPr="00000000" w14:paraId="0000025A">
      <w:pPr>
        <w:spacing w:after="280" w:before="280" w:lineRule="auto"/>
        <w:rPr/>
      </w:pPr>
      <w:r w:rsidDel="00000000" w:rsidR="00000000" w:rsidRPr="00000000">
        <w:rPr>
          <w:b w:val="1"/>
          <w:rtl w:val="0"/>
        </w:rPr>
        <w:t xml:space="preserve">2.5.2 Effort Expectancy (EE)</w:t>
      </w:r>
      <w:r w:rsidDel="00000000" w:rsidR="00000000" w:rsidRPr="00000000">
        <w:rPr>
          <w:rtl w:val="0"/>
        </w:rPr>
        <w:t xml:space="preserve"> </w:t>
      </w:r>
    </w:p>
    <w:p w:rsidR="00000000" w:rsidDel="00000000" w:rsidP="00000000" w:rsidRDefault="00000000" w:rsidRPr="00000000" w14:paraId="0000025B">
      <w:pPr>
        <w:spacing w:after="240" w:before="240" w:lineRule="auto"/>
        <w:jc w:val="both"/>
        <w:rPr/>
      </w:pPr>
      <w:r w:rsidDel="00000000" w:rsidR="00000000" w:rsidRPr="00000000">
        <w:rPr>
          <w:rtl w:val="0"/>
        </w:rPr>
        <w:t xml:space="preserve">EE refers to perceived ease of use (Yu &amp; Chen, 2024). For wellness tools, intuitive UX and minimal setup are crucial, especially when no institutional training exists (Faqih, 2016; Piwek et al., 2016).</w:t>
      </w:r>
    </w:p>
    <w:p w:rsidR="00000000" w:rsidDel="00000000" w:rsidP="00000000" w:rsidRDefault="00000000" w:rsidRPr="00000000" w14:paraId="0000025C">
      <w:pPr>
        <w:numPr>
          <w:ilvl w:val="0"/>
          <w:numId w:val="25"/>
        </w:numPr>
        <w:spacing w:after="240" w:before="240" w:lineRule="auto"/>
        <w:ind w:left="720" w:hanging="360"/>
        <w:jc w:val="both"/>
        <w:rPr/>
      </w:pPr>
      <w:r w:rsidDel="00000000" w:rsidR="00000000" w:rsidRPr="00000000">
        <w:rPr>
          <w:rtl w:val="0"/>
        </w:rPr>
        <w:t xml:space="preserve">H3: Effort Expectancy impacts Social Influence.</w:t>
      </w:r>
    </w:p>
    <w:p w:rsidR="00000000" w:rsidDel="00000000" w:rsidP="00000000" w:rsidRDefault="00000000" w:rsidRPr="00000000" w14:paraId="0000025D">
      <w:pPr>
        <w:rPr>
          <w:b w:val="1"/>
        </w:rPr>
      </w:pPr>
      <w:r w:rsidDel="00000000" w:rsidR="00000000" w:rsidRPr="00000000">
        <w:rPr>
          <w:b w:val="1"/>
          <w:rtl w:val="0"/>
        </w:rPr>
        <w:t xml:space="preserve">2.5.3 Facilitating Condition (FC)</w:t>
      </w:r>
    </w:p>
    <w:p w:rsidR="00000000" w:rsidDel="00000000" w:rsidP="00000000" w:rsidRDefault="00000000" w:rsidRPr="00000000" w14:paraId="0000025E">
      <w:pPr>
        <w:spacing w:after="240" w:before="240" w:lineRule="auto"/>
        <w:jc w:val="both"/>
        <w:rPr/>
      </w:pPr>
      <w:r w:rsidDel="00000000" w:rsidR="00000000" w:rsidRPr="00000000">
        <w:rPr>
          <w:rtl w:val="0"/>
        </w:rPr>
        <w:t xml:space="preserve">FC includes infrastructure and support systems enabling technology use—such as FAQs, tutorials, peer groups or influencer content (Goodman, 2014; Ambarwati et al., 2020).</w:t>
      </w:r>
    </w:p>
    <w:p w:rsidR="00000000" w:rsidDel="00000000" w:rsidP="00000000" w:rsidRDefault="00000000" w:rsidRPr="00000000" w14:paraId="0000025F">
      <w:pPr>
        <w:numPr>
          <w:ilvl w:val="0"/>
          <w:numId w:val="18"/>
        </w:numPr>
        <w:spacing w:after="0" w:afterAutospacing="0" w:before="240" w:lineRule="auto"/>
        <w:ind w:left="720" w:hanging="360"/>
        <w:jc w:val="both"/>
        <w:rPr/>
      </w:pPr>
      <w:r w:rsidDel="00000000" w:rsidR="00000000" w:rsidRPr="00000000">
        <w:rPr>
          <w:rtl w:val="0"/>
        </w:rPr>
        <w:t xml:space="preserve">H4: Facilitating Conditions Influence Technology Credibility.</w:t>
        <w:br w:type="textWrapping"/>
      </w:r>
    </w:p>
    <w:p w:rsidR="00000000" w:rsidDel="00000000" w:rsidP="00000000" w:rsidRDefault="00000000" w:rsidRPr="00000000" w14:paraId="00000260">
      <w:pPr>
        <w:numPr>
          <w:ilvl w:val="0"/>
          <w:numId w:val="18"/>
        </w:numPr>
        <w:spacing w:after="240" w:before="0" w:beforeAutospacing="0" w:lineRule="auto"/>
        <w:ind w:left="720" w:hanging="360"/>
        <w:jc w:val="both"/>
        <w:rPr/>
      </w:pPr>
      <w:r w:rsidDel="00000000" w:rsidR="00000000" w:rsidRPr="00000000">
        <w:rPr>
          <w:rtl w:val="0"/>
        </w:rPr>
        <w:t xml:space="preserve">H5: Facilitating Conditions influence Personal Innovativeness.</w:t>
      </w:r>
      <w:r w:rsidDel="00000000" w:rsidR="00000000" w:rsidRPr="00000000">
        <w:rPr>
          <w:rtl w:val="0"/>
        </w:rPr>
      </w:r>
    </w:p>
    <w:p w:rsidR="00000000" w:rsidDel="00000000" w:rsidP="00000000" w:rsidRDefault="00000000" w:rsidRPr="00000000" w14:paraId="00000261">
      <w:pPr>
        <w:rPr>
          <w:b w:val="1"/>
          <w:color w:val="1f497d"/>
        </w:rPr>
      </w:pPr>
      <w:r w:rsidDel="00000000" w:rsidR="00000000" w:rsidRPr="00000000">
        <w:rPr>
          <w:b w:val="1"/>
          <w:color w:val="000000"/>
          <w:rtl w:val="0"/>
        </w:rPr>
        <w:t xml:space="preserve">2.5.4 Social Influence (SI):</w:t>
      </w:r>
      <w:r w:rsidDel="00000000" w:rsidR="00000000" w:rsidRPr="00000000">
        <w:rPr>
          <w:rtl w:val="0"/>
        </w:rPr>
      </w:r>
    </w:p>
    <w:p w:rsidR="00000000" w:rsidDel="00000000" w:rsidP="00000000" w:rsidRDefault="00000000" w:rsidRPr="00000000" w14:paraId="00000262">
      <w:pPr>
        <w:spacing w:after="240" w:before="240" w:lineRule="auto"/>
        <w:jc w:val="both"/>
        <w:rPr/>
      </w:pPr>
      <w:r w:rsidDel="00000000" w:rsidR="00000000" w:rsidRPr="00000000">
        <w:rPr>
          <w:rtl w:val="0"/>
        </w:rPr>
        <w:t xml:space="preserve">SI refers to how much an individual is influenced by others—such as peers, family, influencers, or online communities—when deciding to adopt wellness technologies (Venkatesh et al., 2003; Zhao et al., 2017). In decentralized health markets, social proof often substitutes for institutional validation (Huang et al., 2023).</w:t>
      </w:r>
    </w:p>
    <w:p w:rsidR="00000000" w:rsidDel="00000000" w:rsidP="00000000" w:rsidRDefault="00000000" w:rsidRPr="00000000" w14:paraId="00000263">
      <w:pPr>
        <w:numPr>
          <w:ilvl w:val="0"/>
          <w:numId w:val="36"/>
        </w:numPr>
        <w:spacing w:after="240" w:before="240" w:lineRule="auto"/>
        <w:ind w:left="720" w:hanging="360"/>
        <w:jc w:val="both"/>
        <w:rPr/>
      </w:pPr>
      <w:r w:rsidDel="00000000" w:rsidR="00000000" w:rsidRPr="00000000">
        <w:rPr>
          <w:rtl w:val="0"/>
        </w:rPr>
        <w:t xml:space="preserve">H6: Social Influence impacts Technology Credibility.</w:t>
      </w:r>
      <w:r w:rsidDel="00000000" w:rsidR="00000000" w:rsidRPr="00000000">
        <w:rPr>
          <w:rtl w:val="0"/>
        </w:rPr>
      </w:r>
    </w:p>
    <w:p w:rsidR="00000000" w:rsidDel="00000000" w:rsidP="00000000" w:rsidRDefault="00000000" w:rsidRPr="00000000" w14:paraId="00000264">
      <w:pPr>
        <w:rPr>
          <w:b w:val="1"/>
          <w:color w:val="1f497d"/>
        </w:rPr>
      </w:pPr>
      <w:r w:rsidDel="00000000" w:rsidR="00000000" w:rsidRPr="00000000">
        <w:rPr>
          <w:b w:val="1"/>
          <w:color w:val="000000"/>
          <w:rtl w:val="0"/>
        </w:rPr>
        <w:t xml:space="preserve">2.5.5 Personal Innovativeness (PI):</w:t>
      </w:r>
      <w:r w:rsidDel="00000000" w:rsidR="00000000" w:rsidRPr="00000000">
        <w:rPr>
          <w:rtl w:val="0"/>
        </w:rPr>
      </w:r>
    </w:p>
    <w:p w:rsidR="00000000" w:rsidDel="00000000" w:rsidP="00000000" w:rsidRDefault="00000000" w:rsidRPr="00000000" w14:paraId="00000265">
      <w:pPr>
        <w:rPr>
          <w:b w:val="1"/>
          <w:color w:val="1f497d"/>
        </w:rPr>
      </w:pPr>
      <w:r w:rsidDel="00000000" w:rsidR="00000000" w:rsidRPr="00000000">
        <w:rPr>
          <w:rtl w:val="0"/>
        </w:rPr>
      </w:r>
    </w:p>
    <w:p w:rsidR="00000000" w:rsidDel="00000000" w:rsidP="00000000" w:rsidRDefault="00000000" w:rsidRPr="00000000" w14:paraId="00000266">
      <w:pPr>
        <w:jc w:val="both"/>
        <w:rPr/>
      </w:pPr>
      <w:r w:rsidDel="00000000" w:rsidR="00000000" w:rsidRPr="00000000">
        <w:rPr>
          <w:rtl w:val="0"/>
        </w:rPr>
        <w:t xml:space="preserve">PI is an individual's propensity to try new technologies, particularly in emerging or unregulated spaces (Yi et al., 2006). It predicts early adoption and shapes trust when institutional cues are missing (Hung et al., 2023; Nahavandi et al., 2021).</w:t>
      </w:r>
    </w:p>
    <w:p w:rsidR="00000000" w:rsidDel="00000000" w:rsidP="00000000" w:rsidRDefault="00000000" w:rsidRPr="00000000" w14:paraId="00000267">
      <w:pPr>
        <w:numPr>
          <w:ilvl w:val="0"/>
          <w:numId w:val="13"/>
        </w:numPr>
        <w:spacing w:after="0" w:afterAutospacing="0" w:before="240" w:lineRule="auto"/>
        <w:ind w:left="720" w:hanging="360"/>
        <w:jc w:val="both"/>
        <w:rPr/>
      </w:pPr>
      <w:r w:rsidDel="00000000" w:rsidR="00000000" w:rsidRPr="00000000">
        <w:rPr>
          <w:rtl w:val="0"/>
        </w:rPr>
        <w:t xml:space="preserve">H7: Personal Innovativeness influences Technology Credibility.</w:t>
        <w:br w:type="textWrapping"/>
      </w:r>
    </w:p>
    <w:p w:rsidR="00000000" w:rsidDel="00000000" w:rsidP="00000000" w:rsidRDefault="00000000" w:rsidRPr="00000000" w14:paraId="00000268">
      <w:pPr>
        <w:numPr>
          <w:ilvl w:val="0"/>
          <w:numId w:val="13"/>
        </w:numPr>
        <w:spacing w:after="240" w:before="0" w:beforeAutospacing="0" w:lineRule="auto"/>
        <w:ind w:left="720" w:hanging="360"/>
        <w:jc w:val="both"/>
        <w:rPr/>
      </w:pPr>
      <w:r w:rsidDel="00000000" w:rsidR="00000000" w:rsidRPr="00000000">
        <w:rPr>
          <w:rtl w:val="0"/>
        </w:rPr>
        <w:t xml:space="preserve">H8: Personal Innovativeness influences Health Motivation.</w:t>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b w:val="1"/>
          <w:color w:val="000000"/>
        </w:rPr>
      </w:pPr>
      <w:r w:rsidDel="00000000" w:rsidR="00000000" w:rsidRPr="00000000">
        <w:rPr>
          <w:rtl w:val="0"/>
        </w:rPr>
      </w:r>
    </w:p>
    <w:p w:rsidR="00000000" w:rsidDel="00000000" w:rsidP="00000000" w:rsidRDefault="00000000" w:rsidRPr="00000000" w14:paraId="0000026B">
      <w:pPr>
        <w:rPr>
          <w:b w:val="1"/>
          <w:color w:val="000000"/>
        </w:rPr>
      </w:pPr>
      <w:r w:rsidDel="00000000" w:rsidR="00000000" w:rsidRPr="00000000">
        <w:rPr>
          <w:b w:val="1"/>
          <w:color w:val="000000"/>
          <w:rtl w:val="0"/>
        </w:rPr>
        <w:t xml:space="preserve">2.5.6 Health Motivation (HM):</w:t>
      </w:r>
    </w:p>
    <w:p w:rsidR="00000000" w:rsidDel="00000000" w:rsidP="00000000" w:rsidRDefault="00000000" w:rsidRPr="00000000" w14:paraId="0000026C">
      <w:pPr>
        <w:spacing w:after="240" w:before="240" w:lineRule="auto"/>
        <w:jc w:val="both"/>
        <w:rPr/>
      </w:pPr>
      <w:r w:rsidDel="00000000" w:rsidR="00000000" w:rsidRPr="00000000">
        <w:rPr>
          <w:rtl w:val="0"/>
        </w:rPr>
        <w:t xml:space="preserve">HM is the intrinsic drive to improve and maintain well-being (Khomkham &amp; Kaewmanee, 2024). Motivated individuals are more likely to adopt wellness tools and perceive them as credible, even without clinical endorsement (Yousaf et al., 2021; Bianchi et al., 2023).</w:t>
      </w:r>
    </w:p>
    <w:p w:rsidR="00000000" w:rsidDel="00000000" w:rsidP="00000000" w:rsidRDefault="00000000" w:rsidRPr="00000000" w14:paraId="0000026D">
      <w:pPr>
        <w:numPr>
          <w:ilvl w:val="0"/>
          <w:numId w:val="35"/>
        </w:numPr>
        <w:spacing w:after="240" w:before="240" w:lineRule="auto"/>
        <w:ind w:left="720" w:hanging="360"/>
        <w:jc w:val="both"/>
        <w:rPr/>
      </w:pPr>
      <w:r w:rsidDel="00000000" w:rsidR="00000000" w:rsidRPr="00000000">
        <w:rPr>
          <w:rtl w:val="0"/>
        </w:rPr>
        <w:t xml:space="preserve">H9: Health Motivation influences Technology Credibility.</w:t>
      </w:r>
    </w:p>
    <w:p w:rsidR="00000000" w:rsidDel="00000000" w:rsidP="00000000" w:rsidRDefault="00000000" w:rsidRPr="00000000" w14:paraId="0000026E">
      <w:pPr>
        <w:rPr/>
      </w:pPr>
      <w:r w:rsidDel="00000000" w:rsidR="00000000" w:rsidRPr="00000000">
        <w:rPr>
          <w:rtl w:val="0"/>
        </w:rPr>
      </w:r>
    </w:p>
    <w:p w:rsidR="00000000" w:rsidDel="00000000" w:rsidP="00000000" w:rsidRDefault="00000000" w:rsidRPr="00000000" w14:paraId="0000026F">
      <w:pPr>
        <w:rPr>
          <w:b w:val="1"/>
          <w:color w:val="000000"/>
        </w:rPr>
      </w:pPr>
      <w:r w:rsidDel="00000000" w:rsidR="00000000" w:rsidRPr="00000000">
        <w:rPr>
          <w:b w:val="1"/>
          <w:color w:val="000000"/>
          <w:rtl w:val="0"/>
        </w:rPr>
        <w:t xml:space="preserve">2.5.7 Technology Credibility (TC):</w:t>
      </w:r>
    </w:p>
    <w:p w:rsidR="00000000" w:rsidDel="00000000" w:rsidP="00000000" w:rsidRDefault="00000000" w:rsidRPr="00000000" w14:paraId="00000270">
      <w:pPr>
        <w:spacing w:after="240" w:before="240" w:lineRule="auto"/>
        <w:jc w:val="both"/>
        <w:rPr/>
      </w:pPr>
      <w:r w:rsidDel="00000000" w:rsidR="00000000" w:rsidRPr="00000000">
        <w:rPr>
          <w:rtl w:val="0"/>
        </w:rPr>
        <w:t xml:space="preserve">TC refers to users’ perception of a technology’s trustworthiness, scientific basis, and safety (Javaid et al., 2024). In non-institutional wellness settings, credibility often depends on branding, testimonials, or influencer advocacy (Mouloudj et al., 2023).</w:t>
      </w:r>
    </w:p>
    <w:p w:rsidR="00000000" w:rsidDel="00000000" w:rsidP="00000000" w:rsidRDefault="00000000" w:rsidRPr="00000000" w14:paraId="00000271">
      <w:pPr>
        <w:numPr>
          <w:ilvl w:val="0"/>
          <w:numId w:val="39"/>
        </w:numPr>
        <w:spacing w:after="240" w:before="240" w:lineRule="auto"/>
        <w:ind w:left="720" w:hanging="360"/>
        <w:jc w:val="both"/>
        <w:rPr/>
      </w:pPr>
      <w:r w:rsidDel="00000000" w:rsidR="00000000" w:rsidRPr="00000000">
        <w:rPr>
          <w:rtl w:val="0"/>
        </w:rPr>
        <w:t xml:space="preserve">H10: Technology Credibility influences Behavioral Intention.</w:t>
      </w:r>
      <w:r w:rsidDel="00000000" w:rsidR="00000000" w:rsidRPr="00000000">
        <w:rPr>
          <w:rtl w:val="0"/>
        </w:rPr>
      </w:r>
    </w:p>
    <w:p w:rsidR="00000000" w:rsidDel="00000000" w:rsidP="00000000" w:rsidRDefault="00000000" w:rsidRPr="00000000" w14:paraId="00000272">
      <w:pPr>
        <w:rPr>
          <w:color w:val="1f497d"/>
        </w:rPr>
      </w:pPr>
      <w:r w:rsidDel="00000000" w:rsidR="00000000" w:rsidRPr="00000000">
        <w:rPr>
          <w:rtl w:val="0"/>
        </w:rPr>
      </w:r>
    </w:p>
    <w:p w:rsidR="00000000" w:rsidDel="00000000" w:rsidP="00000000" w:rsidRDefault="00000000" w:rsidRPr="00000000" w14:paraId="00000273">
      <w:pPr>
        <w:rPr>
          <w:b w:val="1"/>
          <w:color w:val="1f497d"/>
          <w:highlight w:val="yellow"/>
        </w:rPr>
      </w:pPr>
      <w:r w:rsidDel="00000000" w:rsidR="00000000" w:rsidRPr="00000000">
        <w:rPr>
          <w:b w:val="1"/>
          <w:color w:val="000000"/>
          <w:rtl w:val="0"/>
        </w:rPr>
        <w:t xml:space="preserve">2.5.8 Perceived Risk (PR):</w:t>
      </w:r>
      <w:r w:rsidDel="00000000" w:rsidR="00000000" w:rsidRPr="00000000">
        <w:rPr>
          <w:rtl w:val="0"/>
        </w:rPr>
      </w:r>
    </w:p>
    <w:p w:rsidR="00000000" w:rsidDel="00000000" w:rsidP="00000000" w:rsidRDefault="00000000" w:rsidRPr="00000000" w14:paraId="00000274">
      <w:pPr>
        <w:spacing w:after="240" w:before="240" w:lineRule="auto"/>
        <w:jc w:val="both"/>
        <w:rPr/>
      </w:pPr>
      <w:r w:rsidDel="00000000" w:rsidR="00000000" w:rsidRPr="00000000">
        <w:rPr>
          <w:rtl w:val="0"/>
        </w:rPr>
        <w:t xml:space="preserve">PR involves concerns about data privacy, effectiveness, or adverse outcomes (Slovic, 2015). High PR can deter users even when a technology is beneficial, making it a key barrier in wellness tech adoption (Kesharwani &amp; Singh Bisht, 2012; Zhao &amp; Khaliq, 2024).</w:t>
      </w:r>
    </w:p>
    <w:p w:rsidR="00000000" w:rsidDel="00000000" w:rsidP="00000000" w:rsidRDefault="00000000" w:rsidRPr="00000000" w14:paraId="00000275">
      <w:pPr>
        <w:numPr>
          <w:ilvl w:val="0"/>
          <w:numId w:val="6"/>
        </w:numPr>
        <w:spacing w:after="240" w:before="240" w:lineRule="auto"/>
        <w:ind w:left="720" w:hanging="360"/>
        <w:jc w:val="both"/>
        <w:rPr/>
      </w:pPr>
      <w:r w:rsidDel="00000000" w:rsidR="00000000" w:rsidRPr="00000000">
        <w:rPr>
          <w:rtl w:val="0"/>
        </w:rPr>
        <w:t xml:space="preserve">H11: Perceived Risk negatively influences Behavioral Intention.</w:t>
      </w:r>
      <w:r w:rsidDel="00000000" w:rsidR="00000000" w:rsidRPr="00000000">
        <w:rPr>
          <w:rtl w:val="0"/>
        </w:rPr>
      </w:r>
    </w:p>
    <w:p w:rsidR="00000000" w:rsidDel="00000000" w:rsidP="00000000" w:rsidRDefault="00000000" w:rsidRPr="00000000" w14:paraId="00000276">
      <w:pPr>
        <w:rPr>
          <w:b w:val="1"/>
          <w:color w:val="000000"/>
        </w:rPr>
      </w:pPr>
      <w:r w:rsidDel="00000000" w:rsidR="00000000" w:rsidRPr="00000000">
        <w:rPr>
          <w:b w:val="1"/>
          <w:color w:val="000000"/>
          <w:rtl w:val="0"/>
        </w:rPr>
        <w:t xml:space="preserve">2.5.9 Behavioral Intention (BI):</w:t>
      </w:r>
    </w:p>
    <w:p w:rsidR="00000000" w:rsidDel="00000000" w:rsidP="00000000" w:rsidRDefault="00000000" w:rsidRPr="00000000" w14:paraId="00000277">
      <w:pPr>
        <w:spacing w:after="240" w:before="240" w:lineRule="auto"/>
        <w:jc w:val="both"/>
        <w:rPr/>
      </w:pPr>
      <w:r w:rsidDel="00000000" w:rsidR="00000000" w:rsidRPr="00000000">
        <w:rPr>
          <w:rtl w:val="0"/>
        </w:rPr>
        <w:t xml:space="preserve">BI captures a person’s intent to use a technology (Ajzen, 2002). Strong intention often precedes real-world engagement, especially in consumer wellness markets where usage is voluntary and unsupervised (Holden &amp; Karsh, 2010).</w:t>
      </w:r>
    </w:p>
    <w:p w:rsidR="00000000" w:rsidDel="00000000" w:rsidP="00000000" w:rsidRDefault="00000000" w:rsidRPr="00000000" w14:paraId="00000278">
      <w:pPr>
        <w:numPr>
          <w:ilvl w:val="0"/>
          <w:numId w:val="3"/>
        </w:numPr>
        <w:spacing w:after="240" w:before="240" w:lineRule="auto"/>
        <w:ind w:left="720" w:hanging="360"/>
        <w:jc w:val="both"/>
        <w:rPr/>
      </w:pPr>
      <w:r w:rsidDel="00000000" w:rsidR="00000000" w:rsidRPr="00000000">
        <w:rPr>
          <w:rtl w:val="0"/>
        </w:rPr>
        <w:t xml:space="preserve">H12: Behavioral Intention influences Actual Use of Technology.</w:t>
      </w:r>
      <w:r w:rsidDel="00000000" w:rsidR="00000000" w:rsidRPr="00000000">
        <w:rPr>
          <w:rtl w:val="0"/>
        </w:rPr>
      </w:r>
    </w:p>
    <w:p w:rsidR="00000000" w:rsidDel="00000000" w:rsidP="00000000" w:rsidRDefault="00000000" w:rsidRPr="00000000" w14:paraId="00000279">
      <w:pPr>
        <w:rPr>
          <w:b w:val="1"/>
          <w:color w:val="1f497d"/>
        </w:rPr>
      </w:pPr>
      <w:r w:rsidDel="00000000" w:rsidR="00000000" w:rsidRPr="00000000">
        <w:rPr>
          <w:b w:val="1"/>
          <w:color w:val="000000"/>
          <w:rtl w:val="0"/>
        </w:rPr>
        <w:t xml:space="preserve">2.5.10 Actual Use of Technology (AUT):</w:t>
      </w:r>
      <w:r w:rsidDel="00000000" w:rsidR="00000000" w:rsidRPr="00000000">
        <w:rPr>
          <w:rtl w:val="0"/>
        </w:rPr>
      </w:r>
    </w:p>
    <w:p w:rsidR="00000000" w:rsidDel="00000000" w:rsidP="00000000" w:rsidRDefault="00000000" w:rsidRPr="00000000" w14:paraId="0000027A">
      <w:pPr>
        <w:spacing w:after="280" w:before="280" w:lineRule="auto"/>
        <w:jc w:val="both"/>
        <w:rPr/>
      </w:pPr>
      <w:r w:rsidDel="00000000" w:rsidR="00000000" w:rsidRPr="00000000">
        <w:rPr>
          <w:rtl w:val="0"/>
        </w:rPr>
        <w:t xml:space="preserve">AUT is the observable and sustained use of wellness tools—such as red light therapy, wearables, or recovery devices (Turner et al., 2010). It reflects meaningful adoption beyond intent and is the primary outcome variable in this study.</w:t>
      </w:r>
    </w:p>
    <w:p w:rsidR="00000000" w:rsidDel="00000000" w:rsidP="00000000" w:rsidRDefault="00000000" w:rsidRPr="00000000" w14:paraId="0000027B">
      <w:pPr>
        <w:jc w:val="center"/>
        <w:rPr>
          <w:b w:val="1"/>
          <w:highlight w:val="yellow"/>
        </w:rPr>
      </w:pPr>
      <w:r w:rsidDel="00000000" w:rsidR="00000000" w:rsidRPr="00000000">
        <w:rPr>
          <w:b w:val="1"/>
          <w:highlight w:val="white"/>
          <w:rtl w:val="0"/>
        </w:rPr>
        <w:t xml:space="preserve">Figure 6: The Conceptual Model as Generated by Smart PLS</w:t>
      </w:r>
      <w:r w:rsidDel="00000000" w:rsidR="00000000" w:rsidRPr="00000000">
        <w:rPr>
          <w:rtl w:val="0"/>
        </w:rPr>
      </w:r>
    </w:p>
    <w:p w:rsidR="00000000" w:rsidDel="00000000" w:rsidP="00000000" w:rsidRDefault="00000000" w:rsidRPr="00000000" w14:paraId="0000027C">
      <w:pPr>
        <w:spacing w:after="280" w:before="280" w:lineRule="auto"/>
        <w:rPr/>
      </w:pPr>
      <w:r w:rsidDel="00000000" w:rsidR="00000000" w:rsidRPr="00000000">
        <w:rPr/>
        <w:drawing>
          <wp:inline distB="0" distT="0" distL="0" distR="0">
            <wp:extent cx="5953491" cy="3444662"/>
            <wp:effectExtent b="0" l="0" r="0" t="0"/>
            <wp:docPr descr="A diagram of a network&#10;&#10;AI-generated content may be incorrect." id="1976358312" name="image5.png"/>
            <a:graphic>
              <a:graphicData uri="http://schemas.openxmlformats.org/drawingml/2006/picture">
                <pic:pic>
                  <pic:nvPicPr>
                    <pic:cNvPr descr="A diagram of a network&#10;&#10;AI-generated content may be incorrect." id="0" name="image5.png"/>
                    <pic:cNvPicPr preferRelativeResize="0"/>
                  </pic:nvPicPr>
                  <pic:blipFill>
                    <a:blip r:embed="rId11"/>
                    <a:srcRect b="0" l="0" r="0" t="0"/>
                    <a:stretch>
                      <a:fillRect/>
                    </a:stretch>
                  </pic:blipFill>
                  <pic:spPr>
                    <a:xfrm>
                      <a:off x="0" y="0"/>
                      <a:ext cx="5953491" cy="3444662"/>
                    </a:xfrm>
                    <a:prstGeom prst="rect"/>
                    <a:ln/>
                  </pic:spPr>
                </pic:pic>
              </a:graphicData>
            </a:graphic>
          </wp:inline>
        </w:drawing>
      </w:r>
      <w:r w:rsidDel="00000000" w:rsidR="00000000" w:rsidRPr="00000000">
        <w:rPr>
          <w:rtl w:val="0"/>
        </w:rPr>
      </w:r>
    </w:p>
    <w:p w:rsidR="00000000" w:rsidDel="00000000" w:rsidP="00000000" w:rsidRDefault="00000000" w:rsidRPr="00000000" w14:paraId="0000027D">
      <w:pPr>
        <w:jc w:val="center"/>
        <w:rPr>
          <w:i w:val="1"/>
          <w:highlight w:val="white"/>
        </w:rPr>
      </w:pPr>
      <w:r w:rsidDel="00000000" w:rsidR="00000000" w:rsidRPr="00000000">
        <w:rPr>
          <w:i w:val="1"/>
          <w:highlight w:val="white"/>
          <w:rtl w:val="0"/>
        </w:rPr>
        <w:t xml:space="preserve">Source: Generated by Author</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b w:val="1"/>
          <w:i w:val="0"/>
          <w:smallCaps w:val="0"/>
          <w:strike w:val="0"/>
          <w:color w:val="000000"/>
          <w:sz w:val="24"/>
          <w:szCs w:val="24"/>
          <w:u w:val="none"/>
          <w:shd w:fill="auto" w:val="clear"/>
          <w:vertAlign w:val="baseline"/>
        </w:rPr>
      </w:pPr>
      <w:r w:rsidDel="00000000" w:rsidR="00000000" w:rsidRPr="00000000">
        <w:rPr>
          <w:b w:val="1"/>
          <w:i w:val="0"/>
          <w:smallCaps w:val="1"/>
          <w:strike w:val="0"/>
          <w:color w:val="000000"/>
          <w:sz w:val="24"/>
          <w:szCs w:val="24"/>
          <w:highlight w:val="white"/>
          <w:u w:val="none"/>
          <w:vertAlign w:val="baseline"/>
          <w:rtl w:val="0"/>
        </w:rPr>
        <w:t xml:space="preserve">2.6</w:t>
      </w:r>
      <w:r w:rsidDel="00000000" w:rsidR="00000000" w:rsidRPr="00000000">
        <w:rPr>
          <w:b w:val="1"/>
          <w:i w:val="1"/>
          <w:smallCaps w:val="1"/>
          <w:strike w:val="0"/>
          <w:color w:val="000000"/>
          <w:sz w:val="24"/>
          <w:szCs w:val="24"/>
          <w:highlight w:val="white"/>
          <w:u w:val="none"/>
          <w:vertAlign w:val="baseline"/>
          <w:rtl w:val="0"/>
        </w:rPr>
        <w:t xml:space="preserve"> </w:t>
      </w:r>
      <w:r w:rsidDel="00000000" w:rsidR="00000000" w:rsidRPr="00000000">
        <w:rPr>
          <w:b w:val="1"/>
          <w:i w:val="0"/>
          <w:smallCaps w:val="0"/>
          <w:strike w:val="0"/>
          <w:color w:val="000000"/>
          <w:sz w:val="24"/>
          <w:szCs w:val="24"/>
          <w:u w:val="none"/>
          <w:shd w:fill="auto" w:val="clear"/>
          <w:vertAlign w:val="baseline"/>
          <w:rtl w:val="0"/>
        </w:rPr>
        <w:t xml:space="preserve">The Wellness Trust Lifecycle Plus (W-TLC</w:t>
      </w:r>
      <w:r w:rsidDel="00000000" w:rsidR="00000000" w:rsidRPr="00000000">
        <w:rPr>
          <w:b w:val="1"/>
          <w:rtl w:val="0"/>
        </w:rPr>
        <w:t xml:space="preserve">+</w:t>
      </w:r>
      <w:r w:rsidDel="00000000" w:rsidR="00000000" w:rsidRPr="00000000">
        <w:rPr>
          <w:b w:val="1"/>
          <w:i w:val="0"/>
          <w:smallCaps w:val="0"/>
          <w:strike w:val="0"/>
          <w:color w:val="000000"/>
          <w:sz w:val="24"/>
          <w:szCs w:val="24"/>
          <w:u w:val="none"/>
          <w:shd w:fill="auto" w:val="clear"/>
          <w:vertAlign w:val="baseline"/>
          <w:rtl w:val="0"/>
        </w:rPr>
        <w:t xml:space="preserve">) Framework:</w:t>
      </w:r>
    </w:p>
    <w:p w:rsidR="00000000" w:rsidDel="00000000" w:rsidP="00000000" w:rsidRDefault="00000000" w:rsidRPr="00000000" w14:paraId="0000027F">
      <w:pPr>
        <w:spacing w:after="240" w:before="240" w:lineRule="auto"/>
        <w:jc w:val="both"/>
        <w:rPr/>
      </w:pPr>
      <w:r w:rsidDel="00000000" w:rsidR="00000000" w:rsidRPr="00000000">
        <w:rPr>
          <w:rtl w:val="0"/>
        </w:rPr>
        <w:t xml:space="preserve">While dominant models like the Technology Acceptance Model (TAM) (Davis, 1989), Theory of Reasoned Action (TRA) (Fishbein &amp; Ajzen, 1975), Unified Theory of Acceptance and Use of Technology (UTAUT) (Venkatesh et al., 2003), and Diffusion of Innovations (Rogers, 2003) have provided significant insight into technology adoption, they were developed within and for regulated, institution-centric systems. These frameworks assume a foundation of institutional trust, professional validation, and linear diffusion—assumptions that do not hold in the decentralized, consumer-driven world of preventive and wellness technology.</w:t>
      </w:r>
    </w:p>
    <w:p w:rsidR="00000000" w:rsidDel="00000000" w:rsidP="00000000" w:rsidRDefault="00000000" w:rsidRPr="00000000" w14:paraId="00000280">
      <w:pPr>
        <w:spacing w:after="240" w:before="240" w:lineRule="auto"/>
        <w:jc w:val="both"/>
        <w:rPr/>
      </w:pPr>
      <w:r w:rsidDel="00000000" w:rsidR="00000000" w:rsidRPr="00000000">
        <w:rPr>
          <w:rtl w:val="0"/>
        </w:rPr>
        <w:t xml:space="preserve">In wellness tech—where products like photobiomodulation beds, hyperbaric chambers, smart mattresses, neurostimulation headsets, and wearable biometrics are marketed directly to consumers—adoption does not rely on clinical gatekeepers or formal certifications. Instead, consumers must self-navigate a trust vacuum: making decisions based on perceived credibility, social proof, experiential evidence, and intuitive resonance with their personal health goals.</w:t>
      </w:r>
    </w:p>
    <w:p w:rsidR="00000000" w:rsidDel="00000000" w:rsidP="00000000" w:rsidRDefault="00000000" w:rsidRPr="00000000" w14:paraId="00000281">
      <w:pPr>
        <w:spacing w:after="240" w:before="240" w:lineRule="auto"/>
        <w:jc w:val="both"/>
        <w:rPr/>
      </w:pPr>
      <w:r w:rsidDel="00000000" w:rsidR="00000000" w:rsidRPr="00000000">
        <w:rPr>
          <w:rtl w:val="0"/>
        </w:rPr>
        <w:t xml:space="preserve">The Wellness Trust Lifecycle Plus (W-TLC⁺) is a novel framework designed to address this gap. It provides a dynamic, stage-based model for how trust in wellness technologies is built, eroded, and sustained in non-regulated or semi-regulated environments. It maps the consumer journey across five trust stages:</w:t>
      </w:r>
    </w:p>
    <w:p w:rsidR="00000000" w:rsidDel="00000000" w:rsidP="00000000" w:rsidRDefault="00000000" w:rsidRPr="00000000" w14:paraId="00000282">
      <w:pPr>
        <w:pStyle w:val="Heading4"/>
        <w:keepNext w:val="0"/>
        <w:keepLines w:val="0"/>
        <w:jc w:val="both"/>
        <w:rPr>
          <w:b w:val="0"/>
          <w:sz w:val="22"/>
          <w:szCs w:val="22"/>
        </w:rPr>
      </w:pPr>
      <w:bookmarkStart w:colFirst="0" w:colLast="0" w:name="_heading=h.h7cfi7b8e5lh" w:id="1"/>
      <w:bookmarkEnd w:id="1"/>
      <w:r w:rsidDel="00000000" w:rsidR="00000000" w:rsidRPr="00000000">
        <w:rPr>
          <w:b w:val="0"/>
          <w:sz w:val="22"/>
          <w:szCs w:val="22"/>
          <w:rtl w:val="0"/>
        </w:rPr>
        <w:t xml:space="preserve">Stage 1: Discovery</w:t>
      </w:r>
    </w:p>
    <w:p w:rsidR="00000000" w:rsidDel="00000000" w:rsidP="00000000" w:rsidRDefault="00000000" w:rsidRPr="00000000" w14:paraId="00000283">
      <w:pPr>
        <w:numPr>
          <w:ilvl w:val="0"/>
          <w:numId w:val="8"/>
        </w:numPr>
        <w:spacing w:after="0" w:afterAutospacing="0" w:before="240" w:lineRule="auto"/>
        <w:ind w:left="720" w:hanging="360"/>
        <w:jc w:val="both"/>
        <w:rPr/>
      </w:pPr>
      <w:r w:rsidDel="00000000" w:rsidR="00000000" w:rsidRPr="00000000">
        <w:rPr>
          <w:rtl w:val="0"/>
        </w:rPr>
        <w:t xml:space="preserve">Initial exposure to a product or modality (e.g., via influencers, ads, or word-of-mouth).</w:t>
        <w:br w:type="textWrapping"/>
      </w:r>
    </w:p>
    <w:p w:rsidR="00000000" w:rsidDel="00000000" w:rsidP="00000000" w:rsidRDefault="00000000" w:rsidRPr="00000000" w14:paraId="00000284">
      <w:pPr>
        <w:numPr>
          <w:ilvl w:val="0"/>
          <w:numId w:val="8"/>
        </w:numPr>
        <w:spacing w:after="0" w:afterAutospacing="0" w:before="0" w:beforeAutospacing="0" w:lineRule="auto"/>
        <w:ind w:left="720" w:hanging="360"/>
        <w:jc w:val="both"/>
        <w:rPr/>
      </w:pPr>
      <w:r w:rsidDel="00000000" w:rsidR="00000000" w:rsidRPr="00000000">
        <w:rPr>
          <w:rtl w:val="0"/>
        </w:rPr>
        <w:t xml:space="preserve">Trust factors: Brand aesthetics, founder visibility, testimonials, influencer alignment.</w:t>
        <w:br w:type="textWrapping"/>
      </w:r>
    </w:p>
    <w:p w:rsidR="00000000" w:rsidDel="00000000" w:rsidP="00000000" w:rsidRDefault="00000000" w:rsidRPr="00000000" w14:paraId="00000285">
      <w:pPr>
        <w:numPr>
          <w:ilvl w:val="0"/>
          <w:numId w:val="8"/>
        </w:numPr>
        <w:spacing w:after="240" w:before="0" w:beforeAutospacing="0" w:lineRule="auto"/>
        <w:ind w:left="720" w:hanging="360"/>
        <w:jc w:val="both"/>
        <w:rPr/>
      </w:pPr>
      <w:r w:rsidDel="00000000" w:rsidR="00000000" w:rsidRPr="00000000">
        <w:rPr>
          <w:rtl w:val="0"/>
        </w:rPr>
        <w:t xml:space="preserve">Risk: Hype may outrun substance, leading to inflated expectations.</w:t>
        <w:br w:type="textWrapping"/>
      </w:r>
    </w:p>
    <w:p w:rsidR="00000000" w:rsidDel="00000000" w:rsidP="00000000" w:rsidRDefault="00000000" w:rsidRPr="00000000" w14:paraId="00000286">
      <w:pPr>
        <w:pStyle w:val="Heading4"/>
        <w:keepNext w:val="0"/>
        <w:keepLines w:val="0"/>
        <w:jc w:val="both"/>
        <w:rPr>
          <w:b w:val="0"/>
          <w:sz w:val="22"/>
          <w:szCs w:val="22"/>
        </w:rPr>
      </w:pPr>
      <w:bookmarkStart w:colFirst="0" w:colLast="0" w:name="_heading=h.ppxsvj56g7fx" w:id="2"/>
      <w:bookmarkEnd w:id="2"/>
      <w:r w:rsidDel="00000000" w:rsidR="00000000" w:rsidRPr="00000000">
        <w:rPr>
          <w:b w:val="0"/>
          <w:sz w:val="22"/>
          <w:szCs w:val="22"/>
          <w:rtl w:val="0"/>
        </w:rPr>
        <w:t xml:space="preserve">Stage 2: Exploration</w:t>
      </w:r>
    </w:p>
    <w:p w:rsidR="00000000" w:rsidDel="00000000" w:rsidP="00000000" w:rsidRDefault="00000000" w:rsidRPr="00000000" w14:paraId="00000287">
      <w:pPr>
        <w:numPr>
          <w:ilvl w:val="0"/>
          <w:numId w:val="9"/>
        </w:numPr>
        <w:spacing w:after="0" w:afterAutospacing="0" w:before="240" w:lineRule="auto"/>
        <w:ind w:left="720" w:hanging="360"/>
        <w:jc w:val="both"/>
        <w:rPr/>
      </w:pPr>
      <w:r w:rsidDel="00000000" w:rsidR="00000000" w:rsidRPr="00000000">
        <w:rPr>
          <w:rtl w:val="0"/>
        </w:rPr>
        <w:t xml:space="preserve">Consumers seek out more information, reviews, evidence, or community validation.</w:t>
        <w:br w:type="textWrapping"/>
      </w:r>
    </w:p>
    <w:p w:rsidR="00000000" w:rsidDel="00000000" w:rsidP="00000000" w:rsidRDefault="00000000" w:rsidRPr="00000000" w14:paraId="00000288">
      <w:pPr>
        <w:numPr>
          <w:ilvl w:val="0"/>
          <w:numId w:val="9"/>
        </w:numPr>
        <w:spacing w:after="0" w:afterAutospacing="0" w:before="0" w:beforeAutospacing="0" w:lineRule="auto"/>
        <w:ind w:left="720" w:hanging="360"/>
        <w:jc w:val="both"/>
        <w:rPr/>
      </w:pPr>
      <w:r w:rsidDel="00000000" w:rsidR="00000000" w:rsidRPr="00000000">
        <w:rPr>
          <w:rtl w:val="0"/>
        </w:rPr>
        <w:t xml:space="preserve">Trust factors: Transparency, data availability, social proof, perceived openness.</w:t>
        <w:br w:type="textWrapping"/>
      </w:r>
    </w:p>
    <w:p w:rsidR="00000000" w:rsidDel="00000000" w:rsidP="00000000" w:rsidRDefault="00000000" w:rsidRPr="00000000" w14:paraId="00000289">
      <w:pPr>
        <w:numPr>
          <w:ilvl w:val="0"/>
          <w:numId w:val="9"/>
        </w:numPr>
        <w:spacing w:after="240" w:before="0" w:beforeAutospacing="0" w:lineRule="auto"/>
        <w:ind w:left="720" w:hanging="360"/>
        <w:jc w:val="both"/>
        <w:rPr/>
      </w:pPr>
      <w:r w:rsidDel="00000000" w:rsidR="00000000" w:rsidRPr="00000000">
        <w:rPr>
          <w:rtl w:val="0"/>
        </w:rPr>
        <w:t xml:space="preserve">Brands that provide easy-to-understand explanations and honest limitations gain early trust.</w:t>
        <w:br w:type="textWrapping"/>
      </w:r>
    </w:p>
    <w:p w:rsidR="00000000" w:rsidDel="00000000" w:rsidP="00000000" w:rsidRDefault="00000000" w:rsidRPr="00000000" w14:paraId="0000028A">
      <w:pPr>
        <w:pStyle w:val="Heading4"/>
        <w:keepNext w:val="0"/>
        <w:keepLines w:val="0"/>
        <w:jc w:val="both"/>
        <w:rPr>
          <w:b w:val="0"/>
          <w:sz w:val="22"/>
          <w:szCs w:val="22"/>
        </w:rPr>
      </w:pPr>
      <w:bookmarkStart w:colFirst="0" w:colLast="0" w:name="_heading=h.t48a7ovjxpe8" w:id="3"/>
      <w:bookmarkEnd w:id="3"/>
      <w:r w:rsidDel="00000000" w:rsidR="00000000" w:rsidRPr="00000000">
        <w:rPr>
          <w:b w:val="0"/>
          <w:sz w:val="22"/>
          <w:szCs w:val="22"/>
          <w:rtl w:val="0"/>
        </w:rPr>
        <w:t xml:space="preserve">Stage 3: Trial and Friction</w:t>
      </w:r>
    </w:p>
    <w:p w:rsidR="00000000" w:rsidDel="00000000" w:rsidP="00000000" w:rsidRDefault="00000000" w:rsidRPr="00000000" w14:paraId="0000028B">
      <w:pPr>
        <w:numPr>
          <w:ilvl w:val="0"/>
          <w:numId w:val="34"/>
        </w:numPr>
        <w:spacing w:after="0" w:afterAutospacing="0" w:before="240" w:lineRule="auto"/>
        <w:ind w:left="720" w:hanging="360"/>
        <w:jc w:val="both"/>
        <w:rPr/>
      </w:pPr>
      <w:r w:rsidDel="00000000" w:rsidR="00000000" w:rsidRPr="00000000">
        <w:rPr>
          <w:rtl w:val="0"/>
        </w:rPr>
        <w:t xml:space="preserve">First use or short-term experimentation begins.</w:t>
        <w:br w:type="textWrapping"/>
      </w:r>
    </w:p>
    <w:p w:rsidR="00000000" w:rsidDel="00000000" w:rsidP="00000000" w:rsidRDefault="00000000" w:rsidRPr="00000000" w14:paraId="0000028C">
      <w:pPr>
        <w:numPr>
          <w:ilvl w:val="0"/>
          <w:numId w:val="34"/>
        </w:numPr>
        <w:spacing w:after="0" w:afterAutospacing="0" w:before="0" w:beforeAutospacing="0" w:lineRule="auto"/>
        <w:ind w:left="720" w:hanging="360"/>
        <w:jc w:val="both"/>
        <w:rPr/>
      </w:pPr>
      <w:r w:rsidDel="00000000" w:rsidR="00000000" w:rsidRPr="00000000">
        <w:rPr>
          <w:rtl w:val="0"/>
        </w:rPr>
        <w:t xml:space="preserve">Trust is tested in action: Does the product work as promised? Is the experience intuitive?</w:t>
        <w:br w:type="textWrapping"/>
      </w:r>
    </w:p>
    <w:p w:rsidR="00000000" w:rsidDel="00000000" w:rsidP="00000000" w:rsidRDefault="00000000" w:rsidRPr="00000000" w14:paraId="0000028D">
      <w:pPr>
        <w:numPr>
          <w:ilvl w:val="0"/>
          <w:numId w:val="34"/>
        </w:numPr>
        <w:spacing w:after="240" w:before="0" w:beforeAutospacing="0" w:lineRule="auto"/>
        <w:ind w:left="720" w:hanging="360"/>
        <w:jc w:val="both"/>
        <w:rPr/>
      </w:pPr>
      <w:r w:rsidDel="00000000" w:rsidR="00000000" w:rsidRPr="00000000">
        <w:rPr>
          <w:rtl w:val="0"/>
        </w:rPr>
        <w:t xml:space="preserve">Key moments: onboarding clarity, technical support, friction resolution.</w:t>
        <w:br w:type="textWrapping"/>
      </w:r>
    </w:p>
    <w:p w:rsidR="00000000" w:rsidDel="00000000" w:rsidP="00000000" w:rsidRDefault="00000000" w:rsidRPr="00000000" w14:paraId="0000028E">
      <w:pPr>
        <w:pStyle w:val="Heading4"/>
        <w:keepNext w:val="0"/>
        <w:keepLines w:val="0"/>
        <w:jc w:val="both"/>
        <w:rPr>
          <w:b w:val="0"/>
          <w:sz w:val="22"/>
          <w:szCs w:val="22"/>
        </w:rPr>
      </w:pPr>
      <w:bookmarkStart w:colFirst="0" w:colLast="0" w:name="_heading=h.1zptde2uvxoc" w:id="4"/>
      <w:bookmarkEnd w:id="4"/>
      <w:r w:rsidDel="00000000" w:rsidR="00000000" w:rsidRPr="00000000">
        <w:rPr>
          <w:b w:val="0"/>
          <w:sz w:val="22"/>
          <w:szCs w:val="22"/>
          <w:rtl w:val="0"/>
        </w:rPr>
        <w:t xml:space="preserve">Stage 4: Outcome Attribution</w:t>
      </w:r>
    </w:p>
    <w:p w:rsidR="00000000" w:rsidDel="00000000" w:rsidP="00000000" w:rsidRDefault="00000000" w:rsidRPr="00000000" w14:paraId="0000028F">
      <w:pPr>
        <w:numPr>
          <w:ilvl w:val="0"/>
          <w:numId w:val="33"/>
        </w:numPr>
        <w:spacing w:after="0" w:afterAutospacing="0" w:before="240" w:lineRule="auto"/>
        <w:ind w:left="720" w:hanging="360"/>
        <w:jc w:val="both"/>
        <w:rPr/>
      </w:pPr>
      <w:r w:rsidDel="00000000" w:rsidR="00000000" w:rsidRPr="00000000">
        <w:rPr>
          <w:rtl w:val="0"/>
        </w:rPr>
        <w:t xml:space="preserve">Consumers reflect on perceived benefits or drawbacks.</w:t>
        <w:br w:type="textWrapping"/>
      </w:r>
    </w:p>
    <w:p w:rsidR="00000000" w:rsidDel="00000000" w:rsidP="00000000" w:rsidRDefault="00000000" w:rsidRPr="00000000" w14:paraId="00000290">
      <w:pPr>
        <w:numPr>
          <w:ilvl w:val="0"/>
          <w:numId w:val="33"/>
        </w:numPr>
        <w:spacing w:after="0" w:afterAutospacing="0" w:before="0" w:beforeAutospacing="0" w:lineRule="auto"/>
        <w:ind w:left="720" w:hanging="360"/>
        <w:jc w:val="both"/>
        <w:rPr/>
      </w:pPr>
      <w:r w:rsidDel="00000000" w:rsidR="00000000" w:rsidRPr="00000000">
        <w:rPr>
          <w:rtl w:val="0"/>
        </w:rPr>
        <w:t xml:space="preserve">Trust factors: Subjective wellness outcomes, data dashboards, support touchpoints.</w:t>
        <w:br w:type="textWrapping"/>
      </w:r>
    </w:p>
    <w:p w:rsidR="00000000" w:rsidDel="00000000" w:rsidP="00000000" w:rsidRDefault="00000000" w:rsidRPr="00000000" w14:paraId="00000291">
      <w:pPr>
        <w:numPr>
          <w:ilvl w:val="0"/>
          <w:numId w:val="33"/>
        </w:numPr>
        <w:spacing w:after="240" w:before="0" w:beforeAutospacing="0" w:lineRule="auto"/>
        <w:ind w:left="720" w:hanging="360"/>
        <w:jc w:val="both"/>
        <w:rPr/>
      </w:pPr>
      <w:r w:rsidDel="00000000" w:rsidR="00000000" w:rsidRPr="00000000">
        <w:rPr>
          <w:rtl w:val="0"/>
        </w:rPr>
        <w:t xml:space="preserve">Even placebo-adjacent effects can reinforce trust if aligned with self-perception.</w:t>
        <w:br w:type="textWrapping"/>
      </w:r>
    </w:p>
    <w:p w:rsidR="00000000" w:rsidDel="00000000" w:rsidP="00000000" w:rsidRDefault="00000000" w:rsidRPr="00000000" w14:paraId="00000292">
      <w:pPr>
        <w:pStyle w:val="Heading4"/>
        <w:keepNext w:val="0"/>
        <w:keepLines w:val="0"/>
        <w:jc w:val="both"/>
        <w:rPr>
          <w:b w:val="0"/>
          <w:sz w:val="22"/>
          <w:szCs w:val="22"/>
        </w:rPr>
      </w:pPr>
      <w:bookmarkStart w:colFirst="0" w:colLast="0" w:name="_heading=h.xjszxikhrw34" w:id="5"/>
      <w:bookmarkEnd w:id="5"/>
      <w:r w:rsidDel="00000000" w:rsidR="00000000" w:rsidRPr="00000000">
        <w:rPr>
          <w:b w:val="0"/>
          <w:sz w:val="22"/>
          <w:szCs w:val="22"/>
          <w:rtl w:val="0"/>
        </w:rPr>
        <w:t xml:space="preserve">Stage 5: Endorsement or Exit</w:t>
      </w:r>
    </w:p>
    <w:p w:rsidR="00000000" w:rsidDel="00000000" w:rsidP="00000000" w:rsidRDefault="00000000" w:rsidRPr="00000000" w14:paraId="00000293">
      <w:pPr>
        <w:numPr>
          <w:ilvl w:val="0"/>
          <w:numId w:val="28"/>
        </w:numPr>
        <w:spacing w:after="0" w:afterAutospacing="0" w:before="240" w:lineRule="auto"/>
        <w:ind w:left="720" w:hanging="360"/>
        <w:jc w:val="both"/>
        <w:rPr/>
      </w:pPr>
      <w:r w:rsidDel="00000000" w:rsidR="00000000" w:rsidRPr="00000000">
        <w:rPr>
          <w:rtl w:val="0"/>
        </w:rPr>
        <w:t xml:space="preserve">If trust is affirmed, users become brand advocates, creating viral loops.</w:t>
        <w:br w:type="textWrapping"/>
      </w:r>
    </w:p>
    <w:p w:rsidR="00000000" w:rsidDel="00000000" w:rsidP="00000000" w:rsidRDefault="00000000" w:rsidRPr="00000000" w14:paraId="00000294">
      <w:pPr>
        <w:numPr>
          <w:ilvl w:val="0"/>
          <w:numId w:val="28"/>
        </w:numPr>
        <w:spacing w:after="0" w:afterAutospacing="0" w:before="0" w:beforeAutospacing="0" w:lineRule="auto"/>
        <w:ind w:left="720" w:hanging="360"/>
        <w:jc w:val="both"/>
        <w:rPr/>
      </w:pPr>
      <w:r w:rsidDel="00000000" w:rsidR="00000000" w:rsidRPr="00000000">
        <w:rPr>
          <w:rtl w:val="0"/>
        </w:rPr>
        <w:t xml:space="preserve">If trust is violated, attrition occurs—often with amplified skepticism and reputational damage.</w:t>
        <w:br w:type="textWrapping"/>
      </w:r>
    </w:p>
    <w:p w:rsidR="00000000" w:rsidDel="00000000" w:rsidP="00000000" w:rsidRDefault="00000000" w:rsidRPr="00000000" w14:paraId="00000295">
      <w:pPr>
        <w:numPr>
          <w:ilvl w:val="0"/>
          <w:numId w:val="28"/>
        </w:numPr>
        <w:spacing w:after="240" w:before="0" w:beforeAutospacing="0" w:lineRule="auto"/>
        <w:ind w:left="720" w:hanging="360"/>
        <w:jc w:val="both"/>
        <w:rPr/>
      </w:pPr>
      <w:r w:rsidDel="00000000" w:rsidR="00000000" w:rsidRPr="00000000">
        <w:rPr>
          <w:rtl w:val="0"/>
        </w:rPr>
        <w:t xml:space="preserve">Ongoing trust requires: value consistency, evolving feature sets, transparent communication.</w:t>
        <w:br w:type="textWrapping"/>
      </w:r>
    </w:p>
    <w:p w:rsidR="00000000" w:rsidDel="00000000" w:rsidP="00000000" w:rsidRDefault="00000000" w:rsidRPr="00000000" w14:paraId="00000296">
      <w:pP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7">
      <w:pPr>
        <w:pStyle w:val="Heading3"/>
        <w:keepNext w:val="0"/>
        <w:keepLines w:val="0"/>
        <w:jc w:val="both"/>
        <w:rPr>
          <w:b w:val="0"/>
          <w:sz w:val="26"/>
          <w:szCs w:val="26"/>
        </w:rPr>
      </w:pPr>
      <w:bookmarkStart w:colFirst="0" w:colLast="0" w:name="_heading=h.szk03iqqwx8y" w:id="6"/>
      <w:bookmarkEnd w:id="6"/>
      <w:r w:rsidDel="00000000" w:rsidR="00000000" w:rsidRPr="00000000">
        <w:rPr>
          <w:b w:val="0"/>
          <w:sz w:val="26"/>
          <w:szCs w:val="26"/>
          <w:rtl w:val="0"/>
        </w:rPr>
        <w:t xml:space="preserve">The "Plus" Advantage: Strategic Utility for Innovators</w:t>
      </w:r>
    </w:p>
    <w:p w:rsidR="00000000" w:rsidDel="00000000" w:rsidP="00000000" w:rsidRDefault="00000000" w:rsidRPr="00000000" w14:paraId="00000298">
      <w:pPr>
        <w:spacing w:after="240" w:before="240" w:lineRule="auto"/>
        <w:jc w:val="both"/>
        <w:rPr/>
      </w:pPr>
      <w:r w:rsidDel="00000000" w:rsidR="00000000" w:rsidRPr="00000000">
        <w:rPr>
          <w:rtl w:val="0"/>
        </w:rPr>
        <w:t xml:space="preserve">What differentiates W-TLC+ from traditional trust models is not just its descriptive power—it is a strategic tool for entrepreneurs, researchers, and product designers. The "Plus" in W-TLC+ refers to a set of entrepreneurial imperatives and practical interventions at each lifecycle stage. These include:</w:t>
      </w:r>
    </w:p>
    <w:p w:rsidR="00000000" w:rsidDel="00000000" w:rsidP="00000000" w:rsidRDefault="00000000" w:rsidRPr="00000000" w14:paraId="00000299">
      <w:pPr>
        <w:numPr>
          <w:ilvl w:val="0"/>
          <w:numId w:val="4"/>
        </w:numPr>
        <w:spacing w:after="0" w:afterAutospacing="0" w:before="240" w:lineRule="auto"/>
        <w:ind w:left="720" w:hanging="360"/>
        <w:jc w:val="both"/>
        <w:rPr/>
      </w:pPr>
      <w:r w:rsidDel="00000000" w:rsidR="00000000" w:rsidRPr="00000000">
        <w:rPr>
          <w:rtl w:val="0"/>
        </w:rPr>
        <w:t xml:space="preserve">Tactical trust levers (e.g., community building, peer data sharing, founder storytelling)</w:t>
        <w:br w:type="textWrapping"/>
      </w:r>
    </w:p>
    <w:p w:rsidR="00000000" w:rsidDel="00000000" w:rsidP="00000000" w:rsidRDefault="00000000" w:rsidRPr="00000000" w14:paraId="0000029A">
      <w:pPr>
        <w:numPr>
          <w:ilvl w:val="0"/>
          <w:numId w:val="4"/>
        </w:numPr>
        <w:spacing w:after="0" w:afterAutospacing="0" w:before="0" w:beforeAutospacing="0" w:lineRule="auto"/>
        <w:ind w:left="720" w:hanging="360"/>
        <w:jc w:val="both"/>
        <w:rPr/>
      </w:pPr>
      <w:r w:rsidDel="00000000" w:rsidR="00000000" w:rsidRPr="00000000">
        <w:rPr>
          <w:rtl w:val="0"/>
        </w:rPr>
        <w:t xml:space="preserve">Metrics mapping to measure trust signals (e.g., referral rates, usage streaks, dropout points)</w:t>
        <w:br w:type="textWrapping"/>
      </w:r>
    </w:p>
    <w:p w:rsidR="00000000" w:rsidDel="00000000" w:rsidP="00000000" w:rsidRDefault="00000000" w:rsidRPr="00000000" w14:paraId="0000029B">
      <w:pPr>
        <w:numPr>
          <w:ilvl w:val="0"/>
          <w:numId w:val="4"/>
        </w:numPr>
        <w:spacing w:after="0" w:afterAutospacing="0" w:before="0" w:beforeAutospacing="0" w:lineRule="auto"/>
        <w:ind w:left="720" w:hanging="360"/>
        <w:jc w:val="both"/>
        <w:rPr/>
      </w:pPr>
      <w:r w:rsidDel="00000000" w:rsidR="00000000" w:rsidRPr="00000000">
        <w:rPr>
          <w:rtl w:val="0"/>
        </w:rPr>
        <w:t xml:space="preserve">Design principles that prioritize transparency, feedback, and user empowerment</w:t>
        <w:br w:type="textWrapping"/>
      </w:r>
    </w:p>
    <w:p w:rsidR="00000000" w:rsidDel="00000000" w:rsidP="00000000" w:rsidRDefault="00000000" w:rsidRPr="00000000" w14:paraId="0000029C">
      <w:pPr>
        <w:numPr>
          <w:ilvl w:val="0"/>
          <w:numId w:val="4"/>
        </w:numPr>
        <w:spacing w:after="240" w:before="0" w:beforeAutospacing="0" w:lineRule="auto"/>
        <w:ind w:left="720" w:hanging="360"/>
        <w:jc w:val="both"/>
        <w:rPr/>
      </w:pPr>
      <w:r w:rsidDel="00000000" w:rsidR="00000000" w:rsidRPr="00000000">
        <w:rPr>
          <w:rtl w:val="0"/>
        </w:rPr>
        <w:t xml:space="preserve">Behavioral nudges that reinforce perceived credibility and reduce perceived risk</w:t>
        <w:br w:type="textWrapping"/>
      </w:r>
    </w:p>
    <w:p w:rsidR="00000000" w:rsidDel="00000000" w:rsidP="00000000" w:rsidRDefault="00000000" w:rsidRPr="00000000" w14:paraId="0000029D">
      <w:pPr>
        <w:spacing w:after="240" w:before="240" w:lineRule="auto"/>
        <w:jc w:val="both"/>
        <w:rPr/>
      </w:pPr>
      <w:r w:rsidDel="00000000" w:rsidR="00000000" w:rsidRPr="00000000">
        <w:rPr>
          <w:rtl w:val="0"/>
        </w:rPr>
        <w:t xml:space="preserve">For entrepreneurs, W-TLC+ offers a blueprint to engineer consumer trust even in the absence of FDA approvals or formal endorsements. For policymakers, it suggests points of leverage to introduce soft oversight, labels of transparency, or third-party validation pathways. And for researchers, it opens a new frontier for measuring and modeling trust beyond institutional scaffolding.</w:t>
      </w:r>
    </w:p>
    <w:p w:rsidR="00000000" w:rsidDel="00000000" w:rsidP="00000000" w:rsidRDefault="00000000" w:rsidRPr="00000000" w14:paraId="0000029E">
      <w:pPr>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F">
      <w:pPr>
        <w:pStyle w:val="Heading3"/>
        <w:keepNext w:val="0"/>
        <w:keepLines w:val="0"/>
        <w:jc w:val="both"/>
        <w:rPr>
          <w:b w:val="0"/>
          <w:sz w:val="26"/>
          <w:szCs w:val="26"/>
        </w:rPr>
      </w:pPr>
      <w:bookmarkStart w:colFirst="0" w:colLast="0" w:name="_heading=h.i2nebko2ppag" w:id="7"/>
      <w:bookmarkEnd w:id="7"/>
      <w:r w:rsidDel="00000000" w:rsidR="00000000" w:rsidRPr="00000000">
        <w:rPr>
          <w:b w:val="0"/>
          <w:sz w:val="26"/>
          <w:szCs w:val="26"/>
          <w:rtl w:val="0"/>
        </w:rPr>
        <w:t xml:space="preserve">Why W-TLC+ Matters</w:t>
      </w:r>
    </w:p>
    <w:p w:rsidR="00000000" w:rsidDel="00000000" w:rsidP="00000000" w:rsidRDefault="00000000" w:rsidRPr="00000000" w14:paraId="000002A0">
      <w:pPr>
        <w:spacing w:after="240" w:before="240" w:lineRule="auto"/>
        <w:jc w:val="both"/>
        <w:rPr/>
      </w:pPr>
      <w:r w:rsidDel="00000000" w:rsidR="00000000" w:rsidRPr="00000000">
        <w:rPr>
          <w:rtl w:val="0"/>
        </w:rPr>
        <w:t xml:space="preserve">In a market saturated with both promise and pseudoscience, trust is the new currency. Consumers are no longer passive recipients of care but active curators of their own health narratives. W-TLC+ provides the first comprehensive model that speaks directly to this emerging reality—anchored in empirical understanding yet flexible enough to guide strategy and innovation in rapidly evolving wellness landscapes.</w:t>
      </w:r>
    </w:p>
    <w:p w:rsidR="00000000" w:rsidDel="00000000" w:rsidP="00000000" w:rsidRDefault="00000000" w:rsidRPr="00000000" w14:paraId="000002A1">
      <w:pPr>
        <w:spacing w:after="240" w:before="240" w:lineRule="auto"/>
        <w:jc w:val="both"/>
        <w:rPr/>
      </w:pPr>
      <w:r w:rsidDel="00000000" w:rsidR="00000000" w:rsidRPr="00000000">
        <w:rPr>
          <w:rtl w:val="0"/>
        </w:rPr>
        <w:t xml:space="preserve">Unlike its predecessors, W-TLC+ is:</w:t>
      </w:r>
    </w:p>
    <w:p w:rsidR="00000000" w:rsidDel="00000000" w:rsidP="00000000" w:rsidRDefault="00000000" w:rsidRPr="00000000" w14:paraId="000002A2">
      <w:pPr>
        <w:numPr>
          <w:ilvl w:val="0"/>
          <w:numId w:val="2"/>
        </w:numPr>
        <w:spacing w:after="0" w:afterAutospacing="0" w:before="240" w:lineRule="auto"/>
        <w:ind w:left="720" w:hanging="360"/>
        <w:jc w:val="both"/>
        <w:rPr/>
      </w:pPr>
      <w:r w:rsidDel="00000000" w:rsidR="00000000" w:rsidRPr="00000000">
        <w:rPr>
          <w:rtl w:val="0"/>
        </w:rPr>
        <w:t xml:space="preserve">Decentralization-aware</w:t>
        <w:br w:type="textWrapping"/>
      </w:r>
    </w:p>
    <w:p w:rsidR="00000000" w:rsidDel="00000000" w:rsidP="00000000" w:rsidRDefault="00000000" w:rsidRPr="00000000" w14:paraId="000002A3">
      <w:pPr>
        <w:numPr>
          <w:ilvl w:val="0"/>
          <w:numId w:val="2"/>
        </w:numPr>
        <w:spacing w:after="0" w:afterAutospacing="0" w:before="0" w:beforeAutospacing="0" w:lineRule="auto"/>
        <w:ind w:left="720" w:hanging="360"/>
        <w:jc w:val="both"/>
        <w:rPr/>
      </w:pPr>
      <w:r w:rsidDel="00000000" w:rsidR="00000000" w:rsidRPr="00000000">
        <w:rPr>
          <w:rtl w:val="0"/>
        </w:rPr>
        <w:t xml:space="preserve">Trust-centric</w:t>
        <w:br w:type="textWrapping"/>
      </w:r>
    </w:p>
    <w:p w:rsidR="00000000" w:rsidDel="00000000" w:rsidP="00000000" w:rsidRDefault="00000000" w:rsidRPr="00000000" w14:paraId="000002A4">
      <w:pPr>
        <w:numPr>
          <w:ilvl w:val="0"/>
          <w:numId w:val="2"/>
        </w:numPr>
        <w:spacing w:after="0" w:afterAutospacing="0" w:before="0" w:beforeAutospacing="0" w:lineRule="auto"/>
        <w:ind w:left="720" w:hanging="360"/>
        <w:jc w:val="both"/>
        <w:rPr/>
      </w:pPr>
      <w:r w:rsidDel="00000000" w:rsidR="00000000" w:rsidRPr="00000000">
        <w:rPr>
          <w:rtl w:val="0"/>
        </w:rPr>
        <w:t xml:space="preserve">Stage-based and dynamic</w:t>
        <w:br w:type="textWrapping"/>
      </w:r>
    </w:p>
    <w:p w:rsidR="00000000" w:rsidDel="00000000" w:rsidP="00000000" w:rsidRDefault="00000000" w:rsidRPr="00000000" w14:paraId="000002A5">
      <w:pPr>
        <w:numPr>
          <w:ilvl w:val="0"/>
          <w:numId w:val="2"/>
        </w:numPr>
        <w:spacing w:after="240" w:before="0" w:beforeAutospacing="0" w:lineRule="auto"/>
        <w:ind w:left="720" w:hanging="360"/>
        <w:jc w:val="both"/>
        <w:rPr/>
      </w:pPr>
      <w:r w:rsidDel="00000000" w:rsidR="00000000" w:rsidRPr="00000000">
        <w:rPr>
          <w:rtl w:val="0"/>
        </w:rPr>
        <w:t xml:space="preserve">Designed for innovation ecosystems, not just academic diagnosis</w:t>
        <w:br w:type="textWrapping"/>
      </w:r>
    </w:p>
    <w:p w:rsidR="00000000" w:rsidDel="00000000" w:rsidP="00000000" w:rsidRDefault="00000000" w:rsidRPr="00000000" w14:paraId="000002A6">
      <w:pPr>
        <w:spacing w:after="240" w:before="240" w:lineRule="auto"/>
        <w:jc w:val="both"/>
        <w:rPr>
          <w:smallCaps w:val="1"/>
          <w:color w:val="0d0d0d"/>
          <w:highlight w:val="white"/>
        </w:rPr>
      </w:pPr>
      <w:r w:rsidDel="00000000" w:rsidR="00000000" w:rsidRPr="00000000">
        <w:rPr>
          <w:rtl w:val="0"/>
        </w:rPr>
        <w:t xml:space="preserve">Ultimately, W-TLC+ redefines how we understand technology adoption when institutional legitimacy is absent, but the desire for health empowerment is high.</w:t>
      </w:r>
      <w:r w:rsidDel="00000000" w:rsidR="00000000" w:rsidRPr="00000000">
        <w:rPr>
          <w:rtl w:val="0"/>
        </w:rPr>
      </w:r>
    </w:p>
    <w:p w:rsidR="00000000" w:rsidDel="00000000" w:rsidP="00000000" w:rsidRDefault="00000000" w:rsidRPr="00000000" w14:paraId="000002A7">
      <w:pPr>
        <w:jc w:val="center"/>
        <w:rPr>
          <w:b w:val="1"/>
          <w:smallCaps w:val="1"/>
          <w:color w:val="0d0d0d"/>
          <w:highlight w:val="white"/>
        </w:rPr>
      </w:pPr>
      <w:r w:rsidDel="00000000" w:rsidR="00000000" w:rsidRPr="00000000">
        <w:rPr>
          <w:b w:val="1"/>
          <w:smallCaps w:val="1"/>
          <w:color w:val="0d0d0d"/>
          <w:highlight w:val="white"/>
          <w:rtl w:val="0"/>
        </w:rPr>
        <w:t xml:space="preserve">CHAPTER III:</w:t>
      </w:r>
    </w:p>
    <w:p w:rsidR="00000000" w:rsidDel="00000000" w:rsidP="00000000" w:rsidRDefault="00000000" w:rsidRPr="00000000" w14:paraId="000002A8">
      <w:pPr>
        <w:rPr>
          <w:b w:val="1"/>
          <w:smallCaps w:val="1"/>
          <w:color w:val="0d0d0d"/>
          <w:highlight w:val="white"/>
        </w:rPr>
      </w:pPr>
      <w:r w:rsidDel="00000000" w:rsidR="00000000" w:rsidRPr="00000000">
        <w:rPr>
          <w:rtl w:val="0"/>
        </w:rPr>
      </w:r>
    </w:p>
    <w:p w:rsidR="00000000" w:rsidDel="00000000" w:rsidP="00000000" w:rsidRDefault="00000000" w:rsidRPr="00000000" w14:paraId="000002A9">
      <w:pPr>
        <w:rPr>
          <w:b w:val="1"/>
          <w:smallCaps w:val="1"/>
          <w:color w:val="0d0d0d"/>
          <w:highlight w:val="white"/>
        </w:rPr>
      </w:pPr>
      <w:r w:rsidDel="00000000" w:rsidR="00000000" w:rsidRPr="00000000">
        <w:rPr>
          <w:b w:val="1"/>
          <w:smallCaps w:val="1"/>
          <w:color w:val="0d0d0d"/>
          <w:highlight w:val="white"/>
          <w:rtl w:val="0"/>
        </w:rPr>
        <w:t xml:space="preserve">METHODOLOGY</w:t>
      </w:r>
    </w:p>
    <w:p w:rsidR="00000000" w:rsidDel="00000000" w:rsidP="00000000" w:rsidRDefault="00000000" w:rsidRPr="00000000" w14:paraId="000002AA">
      <w:pPr>
        <w:jc w:val="both"/>
        <w:rPr>
          <w:smallCaps w:val="1"/>
          <w:color w:val="0d0d0d"/>
          <w:highlight w:val="white"/>
        </w:rPr>
      </w:pPr>
      <w:r w:rsidDel="00000000" w:rsidR="00000000" w:rsidRPr="00000000">
        <w:rPr>
          <w:rtl w:val="0"/>
        </w:rPr>
      </w:r>
    </w:p>
    <w:p w:rsidR="00000000" w:rsidDel="00000000" w:rsidP="00000000" w:rsidRDefault="00000000" w:rsidRPr="00000000" w14:paraId="000002AB">
      <w:pPr>
        <w:spacing w:after="240" w:before="240" w:lineRule="auto"/>
        <w:jc w:val="both"/>
        <w:rPr/>
      </w:pPr>
      <w:r w:rsidDel="00000000" w:rsidR="00000000" w:rsidRPr="00000000">
        <w:rPr>
          <w:rtl w:val="0"/>
        </w:rPr>
        <w:t xml:space="preserve">This chapter presents the research design and methodology adopted to investigate consumer adoption of decentralized preventive health technologies. It begins by outlining the philosophical and methodological foundations of the study, followed by an explanation of the research approach, sampling strategy, and instrument development. The chapter also discusses the design and validation of the questionnaire used to capture relevant constructs from the conceptual model.</w:t>
      </w:r>
    </w:p>
    <w:p w:rsidR="00000000" w:rsidDel="00000000" w:rsidP="00000000" w:rsidRDefault="00000000" w:rsidRPr="00000000" w14:paraId="000002AC">
      <w:pPr>
        <w:spacing w:after="240" w:before="240" w:lineRule="auto"/>
        <w:jc w:val="both"/>
        <w:rPr>
          <w:smallCaps w:val="1"/>
          <w:color w:val="0d0d0d"/>
        </w:rPr>
      </w:pPr>
      <w:r w:rsidDel="00000000" w:rsidR="00000000" w:rsidRPr="00000000">
        <w:rPr>
          <w:rtl w:val="0"/>
        </w:rPr>
        <w:t xml:space="preserve">Subsequently, the data collection procedures are described in detail, including ethical considerations and fieldwork protocols. Finally, the chapter concludes with an overview of the statistical techniques used for data analysis, including structural equation modeling (SEM), which serves to empirically test the proposed hypotheses and assess the overall validity of the model.</w:t>
      </w:r>
      <w:r w:rsidDel="00000000" w:rsidR="00000000" w:rsidRPr="00000000">
        <w:rPr>
          <w:rtl w:val="0"/>
        </w:rPr>
      </w:r>
    </w:p>
    <w:p w:rsidR="00000000" w:rsidDel="00000000" w:rsidP="00000000" w:rsidRDefault="00000000" w:rsidRPr="00000000" w14:paraId="000002AD">
      <w:pPr>
        <w:rPr>
          <w:b w:val="1"/>
        </w:rPr>
      </w:pPr>
      <w:r w:rsidDel="00000000" w:rsidR="00000000" w:rsidRPr="00000000">
        <w:rPr>
          <w:b w:val="1"/>
          <w:rtl w:val="0"/>
        </w:rPr>
        <w:t xml:space="preserve">3.1 Research Design:</w:t>
      </w:r>
    </w:p>
    <w:p w:rsidR="00000000" w:rsidDel="00000000" w:rsidP="00000000" w:rsidRDefault="00000000" w:rsidRPr="00000000" w14:paraId="000002AE">
      <w:pPr>
        <w:spacing w:after="240" w:before="240" w:lineRule="auto"/>
        <w:jc w:val="both"/>
        <w:rPr/>
      </w:pPr>
      <w:r w:rsidDel="00000000" w:rsidR="00000000" w:rsidRPr="00000000">
        <w:rPr>
          <w:rtl w:val="0"/>
        </w:rPr>
        <w:t xml:space="preserve">The research adopts a mixed-methods approach, combining quantitative consumer surveys with advanced analytical techniques to examine both statistical relationships and configurational patterns in the adoption of at-home wellness technologies. A structured questionnaire was used as the primary data collection instrument, designed to measure constructs from the proposed conceptual model. This design allows for the investigation of both generalizable trends and context-specific insights, bridging the gap between behavioral intention and actual use within decentralized, trust-deficient environments.</w:t>
      </w:r>
    </w:p>
    <w:p w:rsidR="00000000" w:rsidDel="00000000" w:rsidP="00000000" w:rsidRDefault="00000000" w:rsidRPr="00000000" w14:paraId="000002AF">
      <w:pPr>
        <w:spacing w:after="240" w:before="240" w:lineRule="auto"/>
        <w:jc w:val="both"/>
        <w:rPr>
          <w:b w:val="1"/>
        </w:rPr>
      </w:pPr>
      <w:r w:rsidDel="00000000" w:rsidR="00000000" w:rsidRPr="00000000">
        <w:rPr>
          <w:rtl w:val="0"/>
        </w:rPr>
        <w:t xml:space="preserve">To ensure conceptual rigor, a comprehensive literature review was conducted to ground the framework in existing theory and empirical research. The study employs both Partial Least Squares Structural Equation Modeling (PLS-SEM) and fuzzy-set Qualitative Comparative Analysis (fsQCA) to test the model. While PLS-SEM validates the linear, causal relationships between latent variables and evaluates model fit, fsQCA complements this by exploring non-linear and combinatorial pathways to adoption outcomes, offering nuanced insight into multiple sufficient conditions (Pappas &amp; Woodside, 2021; Rasoolimanesh et al., 2022). The use of this dual analytic strategy enhances the robustness and explanatory power of the research findings.</w:t>
      </w:r>
      <w:r w:rsidDel="00000000" w:rsidR="00000000" w:rsidRPr="00000000">
        <w:rPr>
          <w:rtl w:val="0"/>
        </w:rPr>
      </w:r>
    </w:p>
    <w:p w:rsidR="00000000" w:rsidDel="00000000" w:rsidP="00000000" w:rsidRDefault="00000000" w:rsidRPr="00000000" w14:paraId="000002B0">
      <w:pPr>
        <w:rPr>
          <w:b w:val="1"/>
        </w:rPr>
      </w:pPr>
      <w:r w:rsidDel="00000000" w:rsidR="00000000" w:rsidRPr="00000000">
        <w:rPr>
          <w:b w:val="1"/>
          <w:rtl w:val="0"/>
        </w:rPr>
        <w:t xml:space="preserve">3.2 Population and Sample size:</w:t>
      </w:r>
    </w:p>
    <w:p w:rsidR="00000000" w:rsidDel="00000000" w:rsidP="00000000" w:rsidRDefault="00000000" w:rsidRPr="00000000" w14:paraId="000002B1">
      <w:pPr>
        <w:jc w:val="both"/>
        <w:rPr>
          <w:highlight w:val="white"/>
        </w:rPr>
      </w:pPr>
      <w:r w:rsidDel="00000000" w:rsidR="00000000" w:rsidRPr="00000000">
        <w:rPr>
          <w:highlight w:val="white"/>
          <w:rtl w:val="0"/>
        </w:rPr>
        <w:t xml:space="preserve">The study targeted a large, highly dispersed population, making traditional sampling impractical. As a result, an </w:t>
      </w:r>
      <w:r w:rsidDel="00000000" w:rsidR="00000000" w:rsidRPr="00000000">
        <w:rPr>
          <w:b w:val="1"/>
          <w:highlight w:val="white"/>
          <w:rtl w:val="0"/>
        </w:rPr>
        <w:t xml:space="preserve">online survey</w:t>
      </w:r>
      <w:r w:rsidDel="00000000" w:rsidR="00000000" w:rsidRPr="00000000">
        <w:rPr>
          <w:highlight w:val="white"/>
          <w:rtl w:val="0"/>
        </w:rPr>
        <w:t xml:space="preserve"> was used. In the first phase, participants were recruited using </w:t>
      </w:r>
      <w:r w:rsidDel="00000000" w:rsidR="00000000" w:rsidRPr="00000000">
        <w:rPr>
          <w:b w:val="1"/>
          <w:highlight w:val="white"/>
          <w:rtl w:val="0"/>
        </w:rPr>
        <w:t xml:space="preserve">purposive sampling</w:t>
      </w:r>
      <w:r w:rsidDel="00000000" w:rsidR="00000000" w:rsidRPr="00000000">
        <w:rPr>
          <w:highlight w:val="white"/>
          <w:rtl w:val="0"/>
        </w:rPr>
        <w:t xml:space="preserve">; in the second, </w:t>
      </w:r>
      <w:r w:rsidDel="00000000" w:rsidR="00000000" w:rsidRPr="00000000">
        <w:rPr>
          <w:b w:val="1"/>
          <w:highlight w:val="white"/>
          <w:rtl w:val="0"/>
        </w:rPr>
        <w:t xml:space="preserve">snowball sampling</w:t>
      </w:r>
      <w:r w:rsidDel="00000000" w:rsidR="00000000" w:rsidRPr="00000000">
        <w:rPr>
          <w:highlight w:val="white"/>
          <w:rtl w:val="0"/>
        </w:rPr>
        <w:t xml:space="preserve"> was employed as initial respondents shared the survey with their networks. The sample size was determined using </w:t>
      </w:r>
      <w:r w:rsidDel="00000000" w:rsidR="00000000" w:rsidRPr="00000000">
        <w:rPr>
          <w:b w:val="1"/>
          <w:highlight w:val="white"/>
          <w:rtl w:val="0"/>
        </w:rPr>
        <w:t xml:space="preserve">Godden’s (2004) formula</w:t>
      </w:r>
      <w:r w:rsidDel="00000000" w:rsidR="00000000" w:rsidRPr="00000000">
        <w:rPr>
          <w:highlight w:val="white"/>
          <w:rtl w:val="0"/>
        </w:rPr>
        <w:t xml:space="preserve"> for infinite populations (defined as populations exceeding 50,000). The formula includes parameters such as </w:t>
      </w:r>
      <w:r w:rsidDel="00000000" w:rsidR="00000000" w:rsidRPr="00000000">
        <w:rPr>
          <w:b w:val="1"/>
          <w:highlight w:val="white"/>
          <w:rtl w:val="0"/>
        </w:rPr>
        <w:t xml:space="preserve">Z-value</w:t>
      </w:r>
      <w:r w:rsidDel="00000000" w:rsidR="00000000" w:rsidRPr="00000000">
        <w:rPr>
          <w:highlight w:val="white"/>
          <w:rtl w:val="0"/>
        </w:rPr>
        <w:t xml:space="preserve">, </w:t>
      </w:r>
      <w:r w:rsidDel="00000000" w:rsidR="00000000" w:rsidRPr="00000000">
        <w:rPr>
          <w:b w:val="1"/>
          <w:highlight w:val="white"/>
          <w:rtl w:val="0"/>
        </w:rPr>
        <w:t xml:space="preserve">population proportion (p)</w:t>
      </w:r>
      <w:r w:rsidDel="00000000" w:rsidR="00000000" w:rsidRPr="00000000">
        <w:rPr>
          <w:highlight w:val="white"/>
          <w:rtl w:val="0"/>
        </w:rPr>
        <w:t xml:space="preserve">, and </w:t>
      </w:r>
      <w:r w:rsidDel="00000000" w:rsidR="00000000" w:rsidRPr="00000000">
        <w:rPr>
          <w:b w:val="1"/>
          <w:highlight w:val="white"/>
          <w:rtl w:val="0"/>
        </w:rPr>
        <w:t xml:space="preserve">margin of error (C)</w:t>
      </w:r>
      <w:r w:rsidDel="00000000" w:rsidR="00000000" w:rsidRPr="00000000">
        <w:rPr>
          <w:highlight w:val="white"/>
          <w:rtl w:val="0"/>
        </w:rPr>
        <w:t xml:space="preserve">. Based on these inputs, the expected sample size for the study was </w:t>
      </w:r>
      <w:r w:rsidDel="00000000" w:rsidR="00000000" w:rsidRPr="00000000">
        <w:rPr>
          <w:b w:val="1"/>
          <w:highlight w:val="white"/>
          <w:rtl w:val="0"/>
        </w:rPr>
        <w:t xml:space="preserve">600 respondents</w:t>
      </w:r>
      <w:r w:rsidDel="00000000" w:rsidR="00000000" w:rsidRPr="00000000">
        <w:rPr>
          <w:highlight w:val="white"/>
          <w:rtl w:val="0"/>
        </w:rPr>
        <w:t xml:space="preserve">.</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Math" w:cs="Cambria Math" w:eastAsia="Cambria Math" w:hAnsi="Cambria Math"/>
          <w:b w:val="0"/>
          <w:i w:val="0"/>
          <w:smallCaps w:val="1"/>
          <w:strike w:val="0"/>
          <w:color w:val="000000"/>
          <w:sz w:val="22"/>
          <w:szCs w:val="22"/>
          <w:u w:val="none"/>
          <w:shd w:fill="auto" w:val="clear"/>
          <w:vertAlign w:val="baseline"/>
        </w:rPr>
      </w:pPr>
      <w:r w:rsidDel="00000000" w:rsidR="00000000" w:rsidRPr="00000000">
        <w:rPr>
          <w:rFonts w:ascii="Cambria Math" w:cs="Cambria Math" w:eastAsia="Cambria Math" w:hAnsi="Cambria Math"/>
          <w:b w:val="0"/>
          <w:i w:val="0"/>
          <w:smallCaps w:val="1"/>
          <w:strike w:val="0"/>
          <w:color w:val="000000"/>
          <w:sz w:val="36.66666666666667"/>
          <w:szCs w:val="36.66666666666667"/>
          <w:u w:val="none"/>
          <w:shd w:fill="auto" w:val="clear"/>
          <w:vertAlign w:val="subscript"/>
          <w:rtl w:val="0"/>
        </w:rPr>
        <w:t xml:space="preserve">𝑆𝑆 =</w:t>
      </w:r>
      <m:oMath>
        <m:f>
          <m:fPr>
            <m:ctrlPr>
              <w:rPr>
                <w:rFonts w:ascii="Cambria Math" w:cs="Cambria Math" w:eastAsia="Cambria Math" w:hAnsi="Cambria Math"/>
                <w:b w:val="0"/>
                <w:i w:val="0"/>
                <w:smallCaps w:val="1"/>
                <w:strike w:val="0"/>
                <w:color w:val="000000"/>
                <w:sz w:val="16"/>
                <w:szCs w:val="16"/>
                <w:u w:val="none"/>
                <w:shd w:fill="auto" w:val="clear"/>
                <w:vertAlign w:val="baseline"/>
              </w:rPr>
            </m:ctrlPr>
          </m:fPr>
          <m:num>
            <m:r>
              <w:rPr>
                <w:rFonts w:ascii="Cambria Math" w:cs="Cambria Math" w:eastAsia="Cambria Math" w:hAnsi="Cambria Math"/>
                <w:b w:val="0"/>
                <w:i w:val="0"/>
                <w:smallCaps w:val="1"/>
                <w:strike w:val="0"/>
                <w:color w:val="000000"/>
                <w:sz w:val="22"/>
                <w:szCs w:val="22"/>
                <w:u w:val="none"/>
                <w:shd w:fill="auto" w:val="clear"/>
                <w:vertAlign w:val="baseline"/>
              </w:rPr>
              <m:t xml:space="preserve">Z</m:t>
            </m:r>
            <m:r>
              <w:rPr>
                <w:rFonts w:ascii="Cambria Math" w:cs="Cambria Math" w:eastAsia="Cambria Math" w:hAnsi="Cambria Math"/>
                <w:b w:val="0"/>
                <w:i w:val="0"/>
                <w:smallCaps w:val="1"/>
                <w:strike w:val="0"/>
                <w:color w:val="000000"/>
                <w:sz w:val="26.666666666666668"/>
                <w:szCs w:val="26.666666666666668"/>
                <w:u w:val="none"/>
                <w:shd w:fill="auto" w:val="clear"/>
                <w:vertAlign w:val="superscript"/>
              </w:rPr>
              <m:t xml:space="preserve">2</m:t>
            </m:r>
            <m:r>
              <w:rPr>
                <w:rFonts w:ascii="Cambria Math" w:cs="Cambria Math" w:eastAsia="Cambria Math" w:hAnsi="Cambria Math"/>
                <w:b w:val="0"/>
                <w:i w:val="0"/>
                <w:smallCaps w:val="1"/>
                <w:strike w:val="0"/>
                <w:color w:val="000000"/>
                <w:sz w:val="22"/>
                <w:szCs w:val="22"/>
                <w:u w:val="none"/>
                <w:shd w:fill="auto" w:val="clear"/>
                <w:vertAlign w:val="baseline"/>
              </w:rPr>
              <m:t xml:space="preserve">xp</m:t>
            </m:r>
            <m:d>
              <m:dPr>
                <m:begChr m:val="("/>
                <m:endChr m:val=")"/>
                <m:ctrlPr>
                  <w:rPr>
                    <w:rFonts w:ascii="Cambria Math" w:cs="Cambria Math" w:eastAsia="Cambria Math" w:hAnsi="Cambria Math"/>
                    <w:b w:val="0"/>
                    <w:i w:val="0"/>
                    <w:smallCaps w:val="1"/>
                    <w:strike w:val="0"/>
                    <w:color w:val="000000"/>
                    <w:sz w:val="22"/>
                    <w:szCs w:val="22"/>
                    <w:u w:val="none"/>
                    <w:shd w:fill="auto" w:val="clear"/>
                    <w:vertAlign w:val="baseline"/>
                  </w:rPr>
                </m:ctrlPr>
              </m:dPr>
              <m:e>
                <m:r>
                  <w:rPr>
                    <w:rFonts w:ascii="Cambria Math" w:cs="Cambria Math" w:eastAsia="Cambria Math" w:hAnsi="Cambria Math"/>
                    <w:b w:val="0"/>
                    <w:i w:val="0"/>
                    <w:smallCaps w:val="1"/>
                    <w:strike w:val="0"/>
                    <w:color w:val="000000"/>
                    <w:sz w:val="22"/>
                    <w:szCs w:val="22"/>
                    <w:u w:val="none"/>
                    <w:shd w:fill="auto" w:val="clear"/>
                    <w:vertAlign w:val="baseline"/>
                  </w:rPr>
                  <m:t xml:space="preserve">1 – p</m:t>
                </m:r>
              </m:e>
            </m:d>
          </m:num>
          <m:den>
            <m:r>
              <w:rPr>
                <w:rFonts w:ascii="Cambria Math" w:cs="Cambria Math" w:eastAsia="Cambria Math" w:hAnsi="Cambria Math"/>
                <w:b w:val="0"/>
                <w:i w:val="0"/>
                <w:smallCaps w:val="1"/>
                <w:strike w:val="0"/>
                <w:color w:val="000000"/>
                <w:sz w:val="22"/>
                <w:szCs w:val="22"/>
                <w:u w:val="none"/>
                <w:shd w:fill="auto" w:val="clear"/>
                <w:vertAlign w:val="baseline"/>
              </w:rPr>
              <m:t xml:space="preserve">C</m:t>
            </m:r>
            <m:r>
              <w:rPr>
                <w:rFonts w:ascii="Cambria Math" w:cs="Cambria Math" w:eastAsia="Cambria Math" w:hAnsi="Cambria Math"/>
                <w:b w:val="0"/>
                <w:i w:val="0"/>
                <w:smallCaps w:val="1"/>
                <w:strike w:val="0"/>
                <w:color w:val="000000"/>
                <w:sz w:val="16"/>
                <w:szCs w:val="16"/>
                <w:u w:val="none"/>
                <w:shd w:fill="auto" w:val="clear"/>
                <w:vertAlign w:val="baseline"/>
              </w:rPr>
              <m:t xml:space="preserve">2</m:t>
            </m:r>
          </m:den>
        </m:f>
      </m:oMath>
      <w:r w:rsidDel="00000000" w:rsidR="00000000" w:rsidRPr="00000000">
        <w:rPr>
          <w:rtl w:val="0"/>
        </w:rPr>
      </w:r>
    </w:p>
    <w:p w:rsidR="00000000" w:rsidDel="00000000" w:rsidP="00000000" w:rsidRDefault="00000000" w:rsidRPr="00000000" w14:paraId="000002B3">
      <w:pPr>
        <w:rPr>
          <w:b w:val="1"/>
        </w:rPr>
      </w:pPr>
      <w:r w:rsidDel="00000000" w:rsidR="00000000" w:rsidRPr="00000000">
        <w:rPr>
          <w:b w:val="1"/>
          <w:rtl w:val="0"/>
        </w:rPr>
        <w:t xml:space="preserve">Table 3.1 Sample Size calculation </w:t>
      </w:r>
    </w:p>
    <w:p w:rsidR="00000000" w:rsidDel="00000000" w:rsidP="00000000" w:rsidRDefault="00000000" w:rsidRPr="00000000" w14:paraId="000002B4">
      <w:pPr>
        <w:rPr>
          <w:b w:val="1"/>
        </w:rPr>
      </w:pPr>
      <w:r w:rsidDel="00000000" w:rsidR="00000000" w:rsidRPr="00000000">
        <w:rPr>
          <w:rtl w:val="0"/>
        </w:rPr>
      </w:r>
    </w:p>
    <w:tbl>
      <w:tblPr>
        <w:tblStyle w:val="Table1"/>
        <w:tblW w:w="9945.0" w:type="dxa"/>
        <w:jc w:val="left"/>
        <w:tblInd w:w="-115.0" w:type="dxa"/>
        <w:tblLayout w:type="fixed"/>
        <w:tblLook w:val="0400"/>
      </w:tblPr>
      <w:tblGrid>
        <w:gridCol w:w="690"/>
        <w:gridCol w:w="2445"/>
        <w:gridCol w:w="1755"/>
        <w:gridCol w:w="1530"/>
        <w:gridCol w:w="1200"/>
        <w:gridCol w:w="2325"/>
        <w:tblGridChange w:id="0">
          <w:tblGrid>
            <w:gridCol w:w="690"/>
            <w:gridCol w:w="2445"/>
            <w:gridCol w:w="1755"/>
            <w:gridCol w:w="1530"/>
            <w:gridCol w:w="1200"/>
            <w:gridCol w:w="2325"/>
          </w:tblGrid>
        </w:tblGridChange>
      </w:tblGrid>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B5">
            <w:pPr>
              <w:rPr>
                <w:b w:val="1"/>
                <w:sz w:val="18"/>
                <w:szCs w:val="18"/>
              </w:rPr>
            </w:pPr>
            <w:r w:rsidDel="00000000" w:rsidR="00000000" w:rsidRPr="00000000">
              <w:rPr>
                <w:b w:val="1"/>
                <w:sz w:val="18"/>
                <w:szCs w:val="18"/>
                <w:rtl w:val="0"/>
              </w:rPr>
              <w:t xml:space="preserve">Scene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6">
            <w:pPr>
              <w:rPr>
                <w:b w:val="1"/>
                <w:sz w:val="18"/>
                <w:szCs w:val="18"/>
              </w:rPr>
            </w:pPr>
            <w:r w:rsidDel="00000000" w:rsidR="00000000" w:rsidRPr="00000000">
              <w:rPr>
                <w:b w:val="1"/>
                <w:sz w:val="18"/>
                <w:szCs w:val="18"/>
                <w:rtl w:val="0"/>
              </w:rPr>
              <w:t xml:space="preserve">Population proportion (p)</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7">
            <w:pPr>
              <w:jc w:val="center"/>
              <w:rPr>
                <w:b w:val="1"/>
                <w:sz w:val="18"/>
                <w:szCs w:val="18"/>
              </w:rPr>
            </w:pPr>
            <w:r w:rsidDel="00000000" w:rsidR="00000000" w:rsidRPr="00000000">
              <w:rPr>
                <w:b w:val="1"/>
                <w:sz w:val="18"/>
                <w:szCs w:val="18"/>
                <w:rtl w:val="0"/>
              </w:rPr>
              <w:t xml:space="preserve">Z(95% Confidence)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8">
            <w:pPr>
              <w:jc w:val="center"/>
              <w:rPr>
                <w:b w:val="1"/>
                <w:sz w:val="18"/>
                <w:szCs w:val="18"/>
              </w:rPr>
            </w:pPr>
            <w:r w:rsidDel="00000000" w:rsidR="00000000" w:rsidRPr="00000000">
              <w:rPr>
                <w:b w:val="1"/>
                <w:sz w:val="18"/>
                <w:szCs w:val="18"/>
                <w:rtl w:val="0"/>
              </w:rPr>
              <w:t xml:space="preserve">Margin of Error </w:t>
            </w:r>
          </w:p>
          <w:p w:rsidR="00000000" w:rsidDel="00000000" w:rsidP="00000000" w:rsidRDefault="00000000" w:rsidRPr="00000000" w14:paraId="000002B9">
            <w:pPr>
              <w:jc w:val="center"/>
              <w:rPr>
                <w:b w:val="1"/>
                <w:sz w:val="18"/>
                <w:szCs w:val="18"/>
              </w:rPr>
            </w:pPr>
            <w:r w:rsidDel="00000000" w:rsidR="00000000" w:rsidRPr="00000000">
              <w:rPr>
                <w:b w:val="1"/>
                <w:sz w:val="18"/>
                <w:szCs w:val="18"/>
                <w:rtl w:val="0"/>
              </w:rPr>
              <w:t xml:space="preserve">(C)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A">
            <w:pPr>
              <w:jc w:val="center"/>
              <w:rPr>
                <w:b w:val="1"/>
                <w:sz w:val="18"/>
                <w:szCs w:val="18"/>
              </w:rPr>
            </w:pPr>
            <w:r w:rsidDel="00000000" w:rsidR="00000000" w:rsidRPr="00000000">
              <w:rPr>
                <w:b w:val="1"/>
                <w:sz w:val="18"/>
                <w:szCs w:val="18"/>
                <w:rtl w:val="0"/>
              </w:rPr>
              <w:t xml:space="preserve">Calculated Sample Size</w:t>
            </w:r>
          </w:p>
          <w:p w:rsidR="00000000" w:rsidDel="00000000" w:rsidP="00000000" w:rsidRDefault="00000000" w:rsidRPr="00000000" w14:paraId="000002BB">
            <w:pPr>
              <w:jc w:val="center"/>
              <w:rPr>
                <w:b w:val="1"/>
                <w:sz w:val="18"/>
                <w:szCs w:val="18"/>
              </w:rPr>
            </w:pPr>
            <w:r w:rsidDel="00000000" w:rsidR="00000000" w:rsidRPr="00000000">
              <w:rPr>
                <w:b w:val="1"/>
                <w:sz w:val="18"/>
                <w:szCs w:val="18"/>
                <w:rtl w:val="0"/>
              </w:rPr>
              <w:t xml:space="preserve">(SS)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BC">
            <w:pPr>
              <w:jc w:val="center"/>
              <w:rPr>
                <w:b w:val="1"/>
                <w:sz w:val="18"/>
                <w:szCs w:val="18"/>
              </w:rPr>
            </w:pPr>
            <w:r w:rsidDel="00000000" w:rsidR="00000000" w:rsidRPr="00000000">
              <w:rPr>
                <w:b w:val="1"/>
                <w:sz w:val="18"/>
                <w:szCs w:val="18"/>
                <w:rtl w:val="0"/>
              </w:rPr>
              <w:t xml:space="preserve">Formula Used </w:t>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D">
            <w:pPr>
              <w:rPr/>
            </w:pPr>
            <w:r w:rsidDel="00000000" w:rsidR="00000000" w:rsidRPr="00000000">
              <w:rPr>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E">
            <w:pPr>
              <w:rPr/>
            </w:pPr>
            <w:r w:rsidDel="00000000" w:rsidR="00000000" w:rsidRPr="00000000">
              <w:rPr>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F">
            <w:pPr>
              <w:rPr/>
            </w:pPr>
            <w:r w:rsidDel="00000000" w:rsidR="00000000" w:rsidRPr="00000000">
              <w:rPr>
                <w:rtl w:val="0"/>
              </w:rPr>
              <w:t xml:space="preserve">1.96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0">
            <w:pPr>
              <w:rPr/>
            </w:pPr>
            <w:r w:rsidDel="00000000" w:rsidR="00000000" w:rsidRPr="00000000">
              <w:rPr>
                <w:rtl w:val="0"/>
              </w:rPr>
              <w:t xml:space="preserve">0.06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1">
            <w:pPr>
              <w:rPr/>
            </w:pPr>
            <w:r w:rsidDel="00000000" w:rsidR="00000000" w:rsidRPr="00000000">
              <w:rPr>
                <w:rtl w:val="0"/>
              </w:rPr>
              <w:t xml:space="preserve">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2">
            <w:pPr>
              <w:jc w:val="center"/>
              <w:rPr>
                <w:rFonts w:ascii="Cambria Math" w:cs="Cambria Math" w:eastAsia="Cambria Math" w:hAnsi="Cambria Math"/>
              </w:rPr>
            </w:pPr>
            <w:r w:rsidDel="00000000" w:rsidR="00000000" w:rsidRPr="00000000">
              <w:rPr>
                <w:sz w:val="16"/>
                <w:szCs w:val="16"/>
                <w:rtl w:val="0"/>
              </w:rPr>
              <w:t xml:space="preserve">SS = </w:t>
            </w:r>
            <m:oMath>
              <m:f>
                <m:fPr>
                  <m:ctrlPr>
                    <w:rPr>
                      <w:rFonts w:ascii="Cambria Math" w:cs="Cambria Math" w:eastAsia="Cambria Math" w:hAnsi="Cambria Math"/>
                    </w:rPr>
                  </m:ctrlPr>
                </m:fPr>
                <m:num>
                  <m:r>
                    <w:rPr>
                      <w:rFonts w:ascii="Cambria Math" w:cs="Cambria Math" w:eastAsia="Cambria Math" w:hAnsi="Cambria Math"/>
                    </w:rPr>
                    <m:t xml:space="preserve">1.962x 0.1</m:t>
                  </m:r>
                  <m:d>
                    <m:dPr>
                      <m:begChr m:val="("/>
                      <m:endChr m:val=")"/>
                      <m:ctrlPr>
                        <w:rPr>
                          <w:rFonts w:ascii="Cambria Math" w:cs="Cambria Math" w:eastAsia="Cambria Math" w:hAnsi="Cambria Math"/>
                        </w:rPr>
                      </m:ctrlPr>
                    </m:dPr>
                    <m:e>
                      <m:r>
                        <w:rPr>
                          <w:rFonts w:ascii="Cambria Math" w:cs="Cambria Math" w:eastAsia="Cambria Math" w:hAnsi="Cambria Math"/>
                        </w:rPr>
                        <m:t xml:space="preserve">1 - 0.1</m:t>
                      </m:r>
                    </m:e>
                  </m:d>
                </m:num>
                <m:den>
                  <m:r>
                    <w:rPr>
                      <w:rFonts w:ascii="Cambria Math" w:cs="Cambria Math" w:eastAsia="Cambria Math" w:hAnsi="Cambria Math"/>
                    </w:rPr>
                    <m:t xml:space="preserve">0.062</m:t>
                  </m:r>
                </m:den>
              </m:f>
            </m:oMath>
            <w:r w:rsidDel="00000000" w:rsidR="00000000" w:rsidRPr="00000000">
              <w:rPr>
                <w:rtl w:val="0"/>
              </w:rPr>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3">
            <w:pPr>
              <w:rPr/>
            </w:pPr>
            <w:r w:rsidDel="00000000" w:rsidR="00000000" w:rsidRPr="00000000">
              <w:rPr>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4">
            <w:pPr>
              <w:rPr/>
            </w:pPr>
            <w:r w:rsidDel="00000000" w:rsidR="00000000" w:rsidRPr="00000000">
              <w:rPr>
                <w:rtl w:val="0"/>
              </w:rPr>
              <w:t xml:space="preserve">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5">
            <w:pPr>
              <w:rPr/>
            </w:pPr>
            <w:r w:rsidDel="00000000" w:rsidR="00000000" w:rsidRPr="00000000">
              <w:rPr>
                <w:rtl w:val="0"/>
              </w:rPr>
              <w:t xml:space="preserve">1.96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6">
            <w:pPr>
              <w:rPr/>
            </w:pPr>
            <w:r w:rsidDel="00000000" w:rsidR="00000000" w:rsidRPr="00000000">
              <w:rPr>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7">
            <w:pPr>
              <w:rPr/>
            </w:pPr>
            <w:r w:rsidDel="00000000" w:rsidR="00000000" w:rsidRPr="00000000">
              <w:rPr>
                <w:rtl w:val="0"/>
              </w:rPr>
              <w:t xml:space="preserve">323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8">
            <w:pPr>
              <w:jc w:val="center"/>
              <w:rPr>
                <w:rFonts w:ascii="Cambria Math" w:cs="Cambria Math" w:eastAsia="Cambria Math" w:hAnsi="Cambria Math"/>
              </w:rPr>
            </w:pPr>
            <w:r w:rsidDel="00000000" w:rsidR="00000000" w:rsidRPr="00000000">
              <w:rPr>
                <w:rtl w:val="0"/>
              </w:rPr>
              <w:t xml:space="preserve"> </w:t>
              <w:br w:type="textWrapping"/>
            </w:r>
            <w:r w:rsidDel="00000000" w:rsidR="00000000" w:rsidRPr="00000000">
              <w:rPr>
                <w:sz w:val="18"/>
                <w:szCs w:val="18"/>
                <w:rtl w:val="0"/>
              </w:rPr>
              <w:t xml:space="preserve">SS = </w:t>
            </w:r>
            <m:oMath>
              <m:f>
                <m:fPr>
                  <m:ctrlPr>
                    <w:rPr>
                      <w:rFonts w:ascii="Cambria Math" w:cs="Cambria Math" w:eastAsia="Cambria Math" w:hAnsi="Cambria Math"/>
                    </w:rPr>
                  </m:ctrlPr>
                </m:fPr>
                <m:num>
                  <m:r>
                    <w:rPr>
                      <w:rFonts w:ascii="Cambria Math" w:cs="Cambria Math" w:eastAsia="Cambria Math" w:hAnsi="Cambria Math"/>
                    </w:rPr>
                    <m:t xml:space="preserve">1.962x 0.3</m:t>
                  </m:r>
                  <m:d>
                    <m:dPr>
                      <m:begChr m:val="("/>
                      <m:endChr m:val=")"/>
                      <m:ctrlPr>
                        <w:rPr>
                          <w:rFonts w:ascii="Cambria Math" w:cs="Cambria Math" w:eastAsia="Cambria Math" w:hAnsi="Cambria Math"/>
                        </w:rPr>
                      </m:ctrlPr>
                    </m:dPr>
                    <m:e>
                      <m:r>
                        <w:rPr>
                          <w:rFonts w:ascii="Cambria Math" w:cs="Cambria Math" w:eastAsia="Cambria Math" w:hAnsi="Cambria Math"/>
                        </w:rPr>
                        <m:t xml:space="preserve">1 - 0.3</m:t>
                      </m:r>
                    </m:e>
                  </m:d>
                </m:num>
                <m:den>
                  <m:r>
                    <w:rPr>
                      <w:rFonts w:ascii="Cambria Math" w:cs="Cambria Math" w:eastAsia="Cambria Math" w:hAnsi="Cambria Math"/>
                    </w:rPr>
                    <m:t xml:space="preserve">0.052</m:t>
                  </m:r>
                </m:den>
              </m:f>
            </m:oMath>
            <w:r w:rsidDel="00000000" w:rsidR="00000000" w:rsidRPr="00000000">
              <w:rPr>
                <w:rtl w:val="0"/>
              </w:rPr>
            </w:r>
          </w:p>
        </w:tc>
      </w:tr>
      <w:tr>
        <w:trPr>
          <w:cantSplit w:val="0"/>
          <w:trHeight w:val="32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9">
            <w:pPr>
              <w:rPr/>
            </w:pPr>
            <w:r w:rsidDel="00000000" w:rsidR="00000000" w:rsidRPr="00000000">
              <w:rPr>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A">
            <w:pPr>
              <w:rPr/>
            </w:pPr>
            <w:r w:rsidDel="00000000" w:rsidR="00000000" w:rsidRPr="00000000">
              <w:rPr>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B">
            <w:pPr>
              <w:rPr/>
            </w:pPr>
            <w:r w:rsidDel="00000000" w:rsidR="00000000" w:rsidRPr="00000000">
              <w:rPr>
                <w:rtl w:val="0"/>
              </w:rPr>
              <w:t xml:space="preserve">1.96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C">
            <w:pPr>
              <w:rPr/>
            </w:pPr>
            <w:r w:rsidDel="00000000" w:rsidR="00000000" w:rsidRPr="00000000">
              <w:rPr>
                <w:rtl w:val="0"/>
              </w:rPr>
              <w:t xml:space="preserve">0.04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D">
            <w:pPr>
              <w:rPr/>
            </w:pPr>
            <w:r w:rsidDel="00000000" w:rsidR="00000000" w:rsidRPr="00000000">
              <w:rPr>
                <w:rtl w:val="0"/>
              </w:rPr>
              <w:t xml:space="preserve">600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E">
            <w:pPr>
              <w:jc w:val="center"/>
              <w:rPr>
                <w:rFonts w:ascii="Cambria Math" w:cs="Cambria Math" w:eastAsia="Cambria Math" w:hAnsi="Cambria Math"/>
              </w:rPr>
            </w:pPr>
            <w:r w:rsidDel="00000000" w:rsidR="00000000" w:rsidRPr="00000000">
              <w:rPr>
                <w:rtl w:val="0"/>
              </w:rPr>
              <w:t xml:space="preserve"> </w:t>
              <w:br w:type="textWrapping"/>
            </w:r>
            <w:r w:rsidDel="00000000" w:rsidR="00000000" w:rsidRPr="00000000">
              <w:rPr>
                <w:sz w:val="16"/>
                <w:szCs w:val="16"/>
                <w:rtl w:val="0"/>
              </w:rPr>
              <w:t xml:space="preserve">SS = </w:t>
            </w:r>
            <m:oMath>
              <m:f>
                <m:fPr>
                  <m:ctrlPr>
                    <w:rPr>
                      <w:rFonts w:ascii="Cambria Math" w:cs="Cambria Math" w:eastAsia="Cambria Math" w:hAnsi="Cambria Math"/>
                    </w:rPr>
                  </m:ctrlPr>
                </m:fPr>
                <m:num>
                  <m:r>
                    <w:rPr>
                      <w:rFonts w:ascii="Cambria Math" w:cs="Cambria Math" w:eastAsia="Cambria Math" w:hAnsi="Cambria Math"/>
                    </w:rPr>
                    <m:t xml:space="preserve">1.962x 0.5</m:t>
                  </m:r>
                  <m:d>
                    <m:dPr>
                      <m:begChr m:val="("/>
                      <m:endChr m:val=")"/>
                      <m:ctrlPr>
                        <w:rPr>
                          <w:rFonts w:ascii="Cambria Math" w:cs="Cambria Math" w:eastAsia="Cambria Math" w:hAnsi="Cambria Math"/>
                        </w:rPr>
                      </m:ctrlPr>
                    </m:dPr>
                    <m:e>
                      <m:r>
                        <w:rPr>
                          <w:rFonts w:ascii="Cambria Math" w:cs="Cambria Math" w:eastAsia="Cambria Math" w:hAnsi="Cambria Math"/>
                        </w:rPr>
                        <m:t xml:space="preserve">1 - 0.5</m:t>
                      </m:r>
                    </m:e>
                  </m:d>
                </m:num>
                <m:den>
                  <m:r>
                    <w:rPr>
                      <w:rFonts w:ascii="Cambria Math" w:cs="Cambria Math" w:eastAsia="Cambria Math" w:hAnsi="Cambria Math"/>
                    </w:rPr>
                    <m:t xml:space="preserve">0.042</m:t>
                  </m:r>
                </m:den>
              </m:f>
            </m:oMath>
            <w:r w:rsidDel="00000000" w:rsidR="00000000" w:rsidRPr="00000000">
              <w:rPr>
                <w:rtl w:val="0"/>
              </w:rPr>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F">
            <w:pPr>
              <w:rPr>
                <w:b w:val="1"/>
              </w:rPr>
            </w:pPr>
            <w:r w:rsidDel="00000000" w:rsidR="00000000" w:rsidRPr="00000000">
              <w:rPr>
                <w:b w:val="1"/>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4">
            <w:pPr>
              <w:rPr>
                <w:b w:val="1"/>
              </w:rPr>
            </w:pPr>
            <w:r w:rsidDel="00000000" w:rsidR="00000000" w:rsidRPr="00000000">
              <w:rPr>
                <w:b w:val="1"/>
                <w:rtl w:val="0"/>
              </w:rPr>
              <w:t xml:space="preserve">1019</w:t>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5">
            <w:pPr>
              <w:rPr>
                <w:b w:val="1"/>
              </w:rPr>
            </w:pPr>
            <w:r w:rsidDel="00000000" w:rsidR="00000000" w:rsidRPr="00000000">
              <w:rPr>
                <w:b w:val="1"/>
                <w:rtl w:val="0"/>
              </w:rPr>
              <w:t xml:space="preserve">Highest of the three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A">
            <w:pPr>
              <w:rPr>
                <w:b w:val="1"/>
              </w:rPr>
            </w:pPr>
            <w:r w:rsidDel="00000000" w:rsidR="00000000" w:rsidRPr="00000000">
              <w:rPr>
                <w:b w:val="1"/>
                <w:rtl w:val="0"/>
              </w:rPr>
              <w:t xml:space="preserve">600</w:t>
            </w:r>
          </w:p>
        </w:tc>
      </w:tr>
    </w:tbl>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b w:val="1"/>
        </w:rPr>
      </w:pPr>
      <w:r w:rsidDel="00000000" w:rsidR="00000000" w:rsidRPr="00000000">
        <w:rPr>
          <w:b w:val="1"/>
          <w:rtl w:val="0"/>
        </w:rPr>
        <w:t xml:space="preserve">3.3 Questionnaire Design </w:t>
      </w:r>
    </w:p>
    <w:p w:rsidR="00000000" w:rsidDel="00000000" w:rsidP="00000000" w:rsidRDefault="00000000" w:rsidRPr="00000000" w14:paraId="000002DD">
      <w:pPr>
        <w:spacing w:after="240" w:before="240" w:lineRule="auto"/>
        <w:jc w:val="both"/>
        <w:rPr/>
      </w:pPr>
      <w:r w:rsidDel="00000000" w:rsidR="00000000" w:rsidRPr="00000000">
        <w:rPr>
          <w:rtl w:val="0"/>
        </w:rPr>
        <w:t xml:space="preserve">The data was collected through a structured, validated questionnaire aligned with the study’s objectives. The survey encompassed ten constructs, each measured using a Likert-type scale. The online format was carefully designed, with an introductory section that outlined the purpose of the research and assured participants of confidentiality.</w:t>
      </w:r>
    </w:p>
    <w:p w:rsidR="00000000" w:rsidDel="00000000" w:rsidP="00000000" w:rsidRDefault="00000000" w:rsidRPr="00000000" w14:paraId="000002DE">
      <w:pPr>
        <w:spacing w:after="240" w:before="240" w:lineRule="auto"/>
        <w:jc w:val="both"/>
        <w:rPr/>
      </w:pPr>
      <w:r w:rsidDel="00000000" w:rsidR="00000000" w:rsidRPr="00000000">
        <w:rPr>
          <w:rtl w:val="0"/>
        </w:rPr>
        <w:t xml:space="preserve">To ensure clarity and usability, a pilot test was conducted with 10% of the target sample. Feedback from this pretest led to minor adjustments in language, layout, and item phrasing to enhance respondent comprehension and survey effectiveness.</w:t>
      </w:r>
    </w:p>
    <w:p w:rsidR="00000000" w:rsidDel="00000000" w:rsidP="00000000" w:rsidRDefault="00000000" w:rsidRPr="00000000" w14:paraId="000002DF">
      <w:pPr>
        <w:rPr>
          <w:b w:val="1"/>
        </w:rPr>
      </w:pPr>
      <w:r w:rsidDel="00000000" w:rsidR="00000000" w:rsidRPr="00000000">
        <w:rPr>
          <w:rtl w:val="0"/>
        </w:rPr>
      </w:r>
    </w:p>
    <w:p w:rsidR="00000000" w:rsidDel="00000000" w:rsidP="00000000" w:rsidRDefault="00000000" w:rsidRPr="00000000" w14:paraId="000002E0">
      <w:pPr>
        <w:rPr>
          <w:b w:val="1"/>
        </w:rPr>
      </w:pPr>
      <w:r w:rsidDel="00000000" w:rsidR="00000000" w:rsidRPr="00000000">
        <w:rPr>
          <w:b w:val="1"/>
          <w:rtl w:val="0"/>
        </w:rPr>
        <w:t xml:space="preserve">Table 3.2 Constructs and Items </w:t>
      </w:r>
    </w:p>
    <w:p w:rsidR="00000000" w:rsidDel="00000000" w:rsidP="00000000" w:rsidRDefault="00000000" w:rsidRPr="00000000" w14:paraId="000002E1">
      <w:pPr>
        <w:rPr>
          <w:b w:val="1"/>
        </w:rPr>
      </w:pPr>
      <w:r w:rsidDel="00000000" w:rsidR="00000000" w:rsidRPr="00000000">
        <w:rPr>
          <w:rtl w:val="0"/>
        </w:rPr>
      </w:r>
    </w:p>
    <w:tbl>
      <w:tblPr>
        <w:tblStyle w:val="Table2"/>
        <w:tblW w:w="10229.0" w:type="dxa"/>
        <w:jc w:val="left"/>
        <w:tblInd w:w="-115.0" w:type="dxa"/>
        <w:tblLayout w:type="fixed"/>
        <w:tblLook w:val="0400"/>
      </w:tblPr>
      <w:tblGrid>
        <w:gridCol w:w="570"/>
        <w:gridCol w:w="1656"/>
        <w:gridCol w:w="963"/>
        <w:gridCol w:w="3000"/>
        <w:gridCol w:w="2360"/>
        <w:gridCol w:w="1680"/>
        <w:tblGridChange w:id="0">
          <w:tblGrid>
            <w:gridCol w:w="570"/>
            <w:gridCol w:w="1656"/>
            <w:gridCol w:w="963"/>
            <w:gridCol w:w="3000"/>
            <w:gridCol w:w="2360"/>
            <w:gridCol w:w="1680"/>
          </w:tblGrid>
        </w:tblGridChange>
      </w:tblGrid>
      <w:tr>
        <w:trPr>
          <w:cantSplit w:val="0"/>
          <w:trHeight w:val="6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2">
            <w:pPr>
              <w:rPr>
                <w:b w:val="1"/>
              </w:rPr>
            </w:pPr>
            <w:r w:rsidDel="00000000" w:rsidR="00000000" w:rsidRPr="00000000">
              <w:rPr>
                <w:b w:val="1"/>
                <w:rtl w:val="0"/>
              </w:rPr>
              <w:t xml:space="preserve">Sl No.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3">
            <w:pPr>
              <w:rPr>
                <w:b w:val="1"/>
              </w:rPr>
            </w:pPr>
            <w:r w:rsidDel="00000000" w:rsidR="00000000" w:rsidRPr="00000000">
              <w:rPr>
                <w:b w:val="1"/>
                <w:rtl w:val="0"/>
              </w:rPr>
              <w:t xml:space="preserve">Construct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4">
            <w:pPr>
              <w:rPr>
                <w:b w:val="1"/>
              </w:rPr>
            </w:pPr>
            <w:r w:rsidDel="00000000" w:rsidR="00000000" w:rsidRPr="00000000">
              <w:rPr>
                <w:b w:val="1"/>
                <w:rtl w:val="0"/>
              </w:rPr>
              <w:t xml:space="preserve">Coding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5">
            <w:pPr>
              <w:rPr>
                <w:b w:val="1"/>
              </w:rPr>
            </w:pPr>
            <w:r w:rsidDel="00000000" w:rsidR="00000000" w:rsidRPr="00000000">
              <w:rPr>
                <w:b w:val="1"/>
                <w:rtl w:val="0"/>
              </w:rPr>
              <w:t xml:space="preserve">Items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6">
            <w:pPr>
              <w:rPr>
                <w:b w:val="1"/>
              </w:rPr>
            </w:pPr>
            <w:r w:rsidDel="00000000" w:rsidR="00000000" w:rsidRPr="00000000">
              <w:rPr>
                <w:b w:val="1"/>
                <w:rtl w:val="0"/>
              </w:rPr>
              <w:t xml:space="preserve">Measurement</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7">
            <w:pPr>
              <w:rPr>
                <w:b w:val="1"/>
              </w:rPr>
            </w:pPr>
            <w:r w:rsidDel="00000000" w:rsidR="00000000" w:rsidRPr="00000000">
              <w:rPr>
                <w:b w:val="1"/>
                <w:rtl w:val="0"/>
              </w:rPr>
              <w:t xml:space="preserve">Developer </w:t>
            </w:r>
          </w:p>
        </w:tc>
      </w:tr>
      <w:tr>
        <w:trPr>
          <w:cantSplit w:val="0"/>
          <w:trHeight w:val="144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8">
            <w:pPr>
              <w:rPr/>
            </w:pPr>
            <w:r w:rsidDel="00000000" w:rsidR="00000000" w:rsidRPr="00000000">
              <w:rPr>
                <w:rtl w:val="0"/>
              </w:rPr>
              <w:t xml:space="preserve">1</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9">
            <w:pPr>
              <w:rPr/>
            </w:pPr>
            <w:r w:rsidDel="00000000" w:rsidR="00000000" w:rsidRPr="00000000">
              <w:rPr>
                <w:rtl w:val="0"/>
              </w:rPr>
              <w:t xml:space="preserve">Performance Expectancy (PE)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A">
            <w:pPr>
              <w:rPr/>
            </w:pPr>
            <w:r w:rsidDel="00000000" w:rsidR="00000000" w:rsidRPr="00000000">
              <w:rPr>
                <w:rtl w:val="0"/>
              </w:rPr>
              <w:t xml:space="preserve">PE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B">
            <w:pPr>
              <w:rPr/>
            </w:pPr>
            <w:r w:rsidDel="00000000" w:rsidR="00000000" w:rsidRPr="00000000">
              <w:rPr>
                <w:rtl w:val="0"/>
              </w:rPr>
              <w:t xml:space="preserve">I believe using at-home health technology will improve my overall health.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EC">
            <w:pPr>
              <w:rPr/>
            </w:pPr>
            <w:r w:rsidDel="00000000" w:rsidR="00000000" w:rsidRPr="00000000">
              <w:rPr>
                <w:rtl w:val="0"/>
              </w:rPr>
              <w:t xml:space="preserve">1 = Strongly Disagree, 2 = Disagree, 3 = Neutral, 4 = Agree, 5 = Strongly Agree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D">
            <w:pPr>
              <w:rPr/>
            </w:pPr>
            <w:r w:rsidDel="00000000" w:rsidR="00000000" w:rsidRPr="00000000">
              <w:rPr>
                <w:rtl w:val="0"/>
              </w:rPr>
              <w:t xml:space="preserve">(Davis, 1989); (Venkatesh et al., 2012)</w:t>
            </w:r>
          </w:p>
        </w:tc>
      </w:tr>
      <w:tr>
        <w:trPr>
          <w:cantSplit w:val="0"/>
          <w:trHeight w:val="14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0">
            <w:pPr>
              <w:rPr/>
            </w:pPr>
            <w:r w:rsidDel="00000000" w:rsidR="00000000" w:rsidRPr="00000000">
              <w:rPr>
                <w:rtl w:val="0"/>
              </w:rPr>
              <w:t xml:space="preserve">PE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1">
            <w:pPr>
              <w:rPr/>
            </w:pPr>
            <w:r w:rsidDel="00000000" w:rsidR="00000000" w:rsidRPr="00000000">
              <w:rPr>
                <w:rtl w:val="0"/>
              </w:rPr>
              <w:t xml:space="preserve">Using this technology will help me better manage my health.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2">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5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6">
            <w:pPr>
              <w:rPr/>
            </w:pPr>
            <w:r w:rsidDel="00000000" w:rsidR="00000000" w:rsidRPr="00000000">
              <w:rPr>
                <w:rtl w:val="0"/>
              </w:rPr>
              <w:t xml:space="preserve">PE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7">
            <w:pPr>
              <w:rPr/>
            </w:pPr>
            <w:r w:rsidDel="00000000" w:rsidR="00000000" w:rsidRPr="00000000">
              <w:rPr>
                <w:rtl w:val="0"/>
              </w:rPr>
              <w:t xml:space="preserve">This technology will contribute to my physical and mental well-being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8">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4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C">
            <w:pPr>
              <w:rPr/>
            </w:pPr>
            <w:r w:rsidDel="00000000" w:rsidR="00000000" w:rsidRPr="00000000">
              <w:rPr>
                <w:rtl w:val="0"/>
              </w:rPr>
              <w:t xml:space="preserve">PE 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D">
            <w:pPr>
              <w:rPr/>
            </w:pPr>
            <w:r w:rsidDel="00000000" w:rsidR="00000000" w:rsidRPr="00000000">
              <w:rPr>
                <w:rtl w:val="0"/>
              </w:rPr>
              <w:t xml:space="preserve">I find that I have access to the right biomarker tests for my personal wellness needs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2FE">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8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0">
            <w:pPr>
              <w:rPr/>
            </w:pPr>
            <w:r w:rsidDel="00000000" w:rsidR="00000000" w:rsidRPr="00000000">
              <w:rPr>
                <w:rtl w:val="0"/>
              </w:rPr>
              <w:t xml:space="preserve">2</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1">
            <w:pPr>
              <w:rPr/>
            </w:pPr>
            <w:r w:rsidDel="00000000" w:rsidR="00000000" w:rsidRPr="00000000">
              <w:rPr>
                <w:rtl w:val="0"/>
              </w:rPr>
              <w:t xml:space="preserve">Effort Expectancy (EE)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2">
            <w:pPr>
              <w:rPr/>
            </w:pPr>
            <w:r w:rsidDel="00000000" w:rsidR="00000000" w:rsidRPr="00000000">
              <w:rPr>
                <w:rtl w:val="0"/>
              </w:rPr>
              <w:t xml:space="preserve">EE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3">
            <w:pPr>
              <w:rPr/>
            </w:pPr>
            <w:r w:rsidDel="00000000" w:rsidR="00000000" w:rsidRPr="00000000">
              <w:rPr>
                <w:rtl w:val="0"/>
              </w:rPr>
              <w:t xml:space="preserve">Learning to use at-home health technology is easy for 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4">
            <w:pPr>
              <w:rPr/>
            </w:pPr>
            <w:r w:rsidDel="00000000" w:rsidR="00000000" w:rsidRPr="00000000">
              <w:rPr>
                <w:rtl w:val="0"/>
              </w:rPr>
              <w:t xml:space="preserve">1 = Strongly Disagree, 2 = Disagree, 3 = Neutral, 4 = Agree, 5 = Strongly Agree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5">
            <w:pPr>
              <w:rPr/>
            </w:pPr>
            <w:r w:rsidDel="00000000" w:rsidR="00000000" w:rsidRPr="00000000">
              <w:rPr>
                <w:rtl w:val="0"/>
              </w:rPr>
              <w:t xml:space="preserve">(Davis, 1989); (Venkatesh &amp; Davis, 2000)</w:t>
            </w:r>
          </w:p>
        </w:tc>
      </w:tr>
      <w:tr>
        <w:trPr>
          <w:cantSplit w:val="0"/>
          <w:trHeight w:val="17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8">
            <w:pPr>
              <w:rPr/>
            </w:pPr>
            <w:r w:rsidDel="00000000" w:rsidR="00000000" w:rsidRPr="00000000">
              <w:rPr>
                <w:rtl w:val="0"/>
              </w:rPr>
              <w:t xml:space="preserve">EE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9">
            <w:pPr>
              <w:rPr/>
            </w:pPr>
            <w:r w:rsidDel="00000000" w:rsidR="00000000" w:rsidRPr="00000000">
              <w:rPr>
                <w:rtl w:val="0"/>
              </w:rPr>
              <w:t xml:space="preserve">I find the technology easy and straightforward to use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0A">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7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E">
            <w:pPr>
              <w:rPr/>
            </w:pPr>
            <w:r w:rsidDel="00000000" w:rsidR="00000000" w:rsidRPr="00000000">
              <w:rPr>
                <w:rtl w:val="0"/>
              </w:rPr>
              <w:t xml:space="preserve">EE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F">
            <w:pPr>
              <w:rPr/>
            </w:pPr>
            <w:r w:rsidDel="00000000" w:rsidR="00000000" w:rsidRPr="00000000">
              <w:rPr>
                <w:rtl w:val="0"/>
              </w:rPr>
              <w:t xml:space="preserve">The technology is simple for me to use for managing my health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0">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86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2">
            <w:pPr>
              <w:rPr/>
            </w:pPr>
            <w:r w:rsidDel="00000000" w:rsidR="00000000" w:rsidRPr="00000000">
              <w:rPr>
                <w:rtl w:val="0"/>
              </w:rPr>
              <w:t xml:space="preserve">3</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3">
            <w:pPr>
              <w:rPr/>
            </w:pPr>
            <w:r w:rsidDel="00000000" w:rsidR="00000000" w:rsidRPr="00000000">
              <w:rPr>
                <w:rtl w:val="0"/>
              </w:rPr>
              <w:t xml:space="preserve">Facilitating Conditions (FC)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4">
            <w:pPr>
              <w:rPr/>
            </w:pPr>
            <w:r w:rsidDel="00000000" w:rsidR="00000000" w:rsidRPr="00000000">
              <w:rPr>
                <w:rtl w:val="0"/>
              </w:rPr>
              <w:t xml:space="preserve">FC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5">
            <w:pPr>
              <w:rPr/>
            </w:pPr>
            <w:r w:rsidDel="00000000" w:rsidR="00000000" w:rsidRPr="00000000">
              <w:rPr>
                <w:rtl w:val="0"/>
              </w:rPr>
              <w:t xml:space="preserve">I have the resources I need (like internet access) to use at-home health technologies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6">
            <w:pPr>
              <w:rPr/>
            </w:pPr>
            <w:r w:rsidDel="00000000" w:rsidR="00000000" w:rsidRPr="00000000">
              <w:rPr>
                <w:rtl w:val="0"/>
              </w:rPr>
              <w:t xml:space="preserve">1 = Strongly Disagree, 2 = Disagree, 3 = Neutral, 4 = Agree, 5 = Strongly Agree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7">
            <w:pPr>
              <w:rPr/>
            </w:pPr>
            <w:r w:rsidDel="00000000" w:rsidR="00000000" w:rsidRPr="00000000">
              <w:rPr>
                <w:rtl w:val="0"/>
              </w:rPr>
              <w:t xml:space="preserve">(Thompson et al., 1991); (Venkatesh et al., 2003). </w:t>
            </w:r>
          </w:p>
        </w:tc>
      </w:tr>
      <w:tr>
        <w:trPr>
          <w:cantSplit w:val="0"/>
          <w:trHeight w:val="18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A">
            <w:pPr>
              <w:rPr/>
            </w:pPr>
            <w:r w:rsidDel="00000000" w:rsidR="00000000" w:rsidRPr="00000000">
              <w:rPr>
                <w:rtl w:val="0"/>
              </w:rPr>
              <w:t xml:space="preserve">FC 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B">
            <w:pPr>
              <w:rPr/>
            </w:pPr>
            <w:r w:rsidDel="00000000" w:rsidR="00000000" w:rsidRPr="00000000">
              <w:rPr>
                <w:rtl w:val="0"/>
              </w:rPr>
              <w:t xml:space="preserve">I receive adequate support when using this technology.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1C">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8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0">
            <w:pPr>
              <w:rPr/>
            </w:pPr>
            <w:r w:rsidDel="00000000" w:rsidR="00000000" w:rsidRPr="00000000">
              <w:rPr>
                <w:rtl w:val="0"/>
              </w:rPr>
              <w:t xml:space="preserve">FC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1">
            <w:pPr>
              <w:rPr/>
            </w:pPr>
            <w:r w:rsidDel="00000000" w:rsidR="00000000" w:rsidRPr="00000000">
              <w:rPr>
                <w:rtl w:val="0"/>
              </w:rPr>
              <w:t xml:space="preserve">The technology at home supports my use of this health system</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2">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8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4">
            <w:pPr>
              <w:rPr/>
            </w:pPr>
            <w:r w:rsidDel="00000000" w:rsidR="00000000" w:rsidRPr="00000000">
              <w:rPr>
                <w:rtl w:val="0"/>
              </w:rPr>
              <w:t xml:space="preserve">4</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5">
            <w:pPr>
              <w:rPr/>
            </w:pPr>
            <w:r w:rsidDel="00000000" w:rsidR="00000000" w:rsidRPr="00000000">
              <w:rPr>
                <w:rtl w:val="0"/>
              </w:rPr>
              <w:t xml:space="preserve">Social Influence (SI)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6">
            <w:pPr>
              <w:rPr/>
            </w:pPr>
            <w:r w:rsidDel="00000000" w:rsidR="00000000" w:rsidRPr="00000000">
              <w:rPr>
                <w:rtl w:val="0"/>
              </w:rPr>
              <w:t xml:space="preserve">SI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7">
            <w:pPr>
              <w:rPr/>
            </w:pPr>
            <w:r w:rsidDel="00000000" w:rsidR="00000000" w:rsidRPr="00000000">
              <w:rPr>
                <w:rtl w:val="0"/>
              </w:rPr>
              <w:t xml:space="preserve">Important people in my life think I should use at-home health technologies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8">
            <w:pPr>
              <w:rPr/>
            </w:pPr>
            <w:r w:rsidDel="00000000" w:rsidR="00000000" w:rsidRPr="00000000">
              <w:rPr>
                <w:rtl w:val="0"/>
              </w:rPr>
              <w:t xml:space="preserve">1 = Strongly Disagree, 2 = Disagree, 3 = Neutral, 4 = Agree, 5 = Strongly Agree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9">
            <w:pPr>
              <w:rPr/>
            </w:pPr>
            <w:r w:rsidDel="00000000" w:rsidR="00000000" w:rsidRPr="00000000">
              <w:rPr>
                <w:rtl w:val="0"/>
              </w:rPr>
              <w:t xml:space="preserve">(Venkatesh et al., 2012); (Venkatesh &amp; Davis, 2000)</w:t>
            </w:r>
          </w:p>
        </w:tc>
      </w:tr>
      <w:tr>
        <w:trPr>
          <w:cantSplit w:val="0"/>
          <w:trHeight w:val="18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C">
            <w:pPr>
              <w:rPr/>
            </w:pPr>
            <w:r w:rsidDel="00000000" w:rsidR="00000000" w:rsidRPr="00000000">
              <w:rPr>
                <w:rtl w:val="0"/>
              </w:rPr>
              <w:t xml:space="preserve">SI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D">
            <w:pPr>
              <w:rPr/>
            </w:pPr>
            <w:r w:rsidDel="00000000" w:rsidR="00000000" w:rsidRPr="00000000">
              <w:rPr>
                <w:rtl w:val="0"/>
              </w:rPr>
              <w:t xml:space="preserve">I feel encouraged by my family and friends to use this technology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E">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8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2">
            <w:pPr>
              <w:rPr/>
            </w:pPr>
            <w:r w:rsidDel="00000000" w:rsidR="00000000" w:rsidRPr="00000000">
              <w:rPr>
                <w:rtl w:val="0"/>
              </w:rPr>
              <w:t xml:space="preserve">SI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3">
            <w:pPr>
              <w:rPr/>
            </w:pPr>
            <w:r w:rsidDel="00000000" w:rsidR="00000000" w:rsidRPr="00000000">
              <w:rPr>
                <w:rtl w:val="0"/>
              </w:rPr>
              <w:t xml:space="preserve">My peers expect me to use health technology at home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4">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74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6">
            <w:pPr>
              <w:rPr/>
            </w:pPr>
            <w:r w:rsidDel="00000000" w:rsidR="00000000" w:rsidRPr="00000000">
              <w:rPr>
                <w:rtl w:val="0"/>
              </w:rPr>
              <w:t xml:space="preserve">5</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7">
            <w:pPr>
              <w:rPr/>
            </w:pPr>
            <w:r w:rsidDel="00000000" w:rsidR="00000000" w:rsidRPr="00000000">
              <w:rPr>
                <w:rtl w:val="0"/>
              </w:rPr>
              <w:t xml:space="preserve">Technology Credibility (TC)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8">
            <w:pPr>
              <w:rPr/>
            </w:pPr>
            <w:r w:rsidDel="00000000" w:rsidR="00000000" w:rsidRPr="00000000">
              <w:rPr>
                <w:rtl w:val="0"/>
              </w:rPr>
              <w:t xml:space="preserve">TC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9">
            <w:pPr>
              <w:rPr/>
            </w:pPr>
            <w:r w:rsidDel="00000000" w:rsidR="00000000" w:rsidRPr="00000000">
              <w:rPr>
                <w:rtl w:val="0"/>
              </w:rPr>
              <w:t xml:space="preserve">I trust the information provided by at-home health technology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A">
            <w:pPr>
              <w:rPr/>
            </w:pPr>
            <w:r w:rsidDel="00000000" w:rsidR="00000000" w:rsidRPr="00000000">
              <w:rPr>
                <w:rtl w:val="0"/>
              </w:rPr>
              <w:t xml:space="preserve">1 = Strongly Disagree, 2 = Disagree, 3 = Neutral, 4 = Agree, 5 = Strongly Agree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B">
            <w:pPr>
              <w:rPr/>
            </w:pPr>
            <w:r w:rsidDel="00000000" w:rsidR="00000000" w:rsidRPr="00000000">
              <w:rPr>
                <w:rtl w:val="0"/>
              </w:rPr>
              <w:t xml:space="preserve">(Pavlou, 2003); (McKnight et al., 2002). </w:t>
            </w:r>
          </w:p>
        </w:tc>
      </w:tr>
      <w:tr>
        <w:trPr>
          <w:cantSplit w:val="0"/>
          <w:trHeight w:val="15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E">
            <w:pPr>
              <w:rPr/>
            </w:pPr>
            <w:r w:rsidDel="00000000" w:rsidR="00000000" w:rsidRPr="00000000">
              <w:rPr>
                <w:rtl w:val="0"/>
              </w:rPr>
              <w:t xml:space="preserve">TC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F">
            <w:pPr>
              <w:rPr/>
            </w:pPr>
            <w:r w:rsidDel="00000000" w:rsidR="00000000" w:rsidRPr="00000000">
              <w:rPr>
                <w:rtl w:val="0"/>
              </w:rPr>
              <w:t xml:space="preserve">I believe my personal health data will be secure with this technology.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0">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5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4">
            <w:pPr>
              <w:rPr/>
            </w:pPr>
            <w:r w:rsidDel="00000000" w:rsidR="00000000" w:rsidRPr="00000000">
              <w:rPr>
                <w:rtl w:val="0"/>
              </w:rPr>
              <w:t xml:space="preserve">TC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5">
            <w:pPr>
              <w:rPr/>
            </w:pPr>
            <w:r w:rsidDel="00000000" w:rsidR="00000000" w:rsidRPr="00000000">
              <w:rPr>
                <w:rtl w:val="0"/>
              </w:rPr>
              <w:t xml:space="preserve">The technology is reliable for managing my health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6">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6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8">
            <w:pPr>
              <w:rPr/>
            </w:pPr>
            <w:r w:rsidDel="00000000" w:rsidR="00000000" w:rsidRPr="00000000">
              <w:rPr>
                <w:rtl w:val="0"/>
              </w:rPr>
              <w:t xml:space="preserve">6</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9">
            <w:pPr>
              <w:rPr/>
            </w:pPr>
            <w:r w:rsidDel="00000000" w:rsidR="00000000" w:rsidRPr="00000000">
              <w:rPr>
                <w:rtl w:val="0"/>
              </w:rPr>
              <w:t xml:space="preserve">Perceived Risk (PR):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A">
            <w:pPr>
              <w:rPr/>
            </w:pPr>
            <w:r w:rsidDel="00000000" w:rsidR="00000000" w:rsidRPr="00000000">
              <w:rPr>
                <w:rtl w:val="0"/>
              </w:rPr>
              <w:t xml:space="preserve">PR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B">
            <w:pPr>
              <w:rPr/>
            </w:pPr>
            <w:r w:rsidDel="00000000" w:rsidR="00000000" w:rsidRPr="00000000">
              <w:rPr>
                <w:rtl w:val="0"/>
              </w:rPr>
              <w:t xml:space="preserve">I am concerned about the privacy of my data when using at-home health technologies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C">
            <w:pPr>
              <w:rPr/>
            </w:pPr>
            <w:r w:rsidDel="00000000" w:rsidR="00000000" w:rsidRPr="00000000">
              <w:rPr>
                <w:rtl w:val="0"/>
              </w:rPr>
              <w:t xml:space="preserve">1 = Strongly Disagree, 2 = Disagree, 3 = Neutral, 4 = Agree, 5 = Strongly Agree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D">
            <w:pPr>
              <w:rPr/>
            </w:pPr>
            <w:r w:rsidDel="00000000" w:rsidR="00000000" w:rsidRPr="00000000">
              <w:rPr>
                <w:rtl w:val="0"/>
              </w:rPr>
              <w:t xml:space="preserve">(Featherman &amp; Pavlou, 2003); (Pavlou, 2003) </w:t>
            </w:r>
          </w:p>
        </w:tc>
      </w:tr>
      <w:tr>
        <w:trPr>
          <w:cantSplit w:val="0"/>
          <w:trHeight w:val="16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0">
            <w:pPr>
              <w:rPr/>
            </w:pPr>
            <w:r w:rsidDel="00000000" w:rsidR="00000000" w:rsidRPr="00000000">
              <w:rPr>
                <w:rtl w:val="0"/>
              </w:rPr>
              <w:t xml:space="preserve">PR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1">
            <w:pPr>
              <w:rPr/>
            </w:pPr>
            <w:r w:rsidDel="00000000" w:rsidR="00000000" w:rsidRPr="00000000">
              <w:rPr>
                <w:rtl w:val="0"/>
              </w:rPr>
              <w:t xml:space="preserve">I worry about possible health risks related to using this technology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2">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6">
            <w:pPr>
              <w:rPr/>
            </w:pPr>
            <w:r w:rsidDel="00000000" w:rsidR="00000000" w:rsidRPr="00000000">
              <w:rPr>
                <w:rtl w:val="0"/>
              </w:rPr>
              <w:t xml:space="preserve">PR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7">
            <w:pPr>
              <w:rPr/>
            </w:pPr>
            <w:r w:rsidDel="00000000" w:rsidR="00000000" w:rsidRPr="00000000">
              <w:rPr>
                <w:rtl w:val="0"/>
              </w:rPr>
              <w:t xml:space="preserve">Using this technology could lead to unwanted consequences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8">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7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C">
            <w:pPr>
              <w:rPr/>
            </w:pPr>
            <w:r w:rsidDel="00000000" w:rsidR="00000000" w:rsidRPr="00000000">
              <w:rPr>
                <w:rtl w:val="0"/>
              </w:rPr>
              <w:t xml:space="preserve">PR 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D">
            <w:pPr>
              <w:rPr/>
            </w:pPr>
            <w:r w:rsidDel="00000000" w:rsidR="00000000" w:rsidRPr="00000000">
              <w:rPr>
                <w:rtl w:val="0"/>
              </w:rPr>
              <w:t xml:space="preserve">I have enough information to interpret the results of biomarker testing.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5E">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44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0">
            <w:pPr>
              <w:rPr/>
            </w:pPr>
            <w:r w:rsidDel="00000000" w:rsidR="00000000" w:rsidRPr="00000000">
              <w:rPr>
                <w:rtl w:val="0"/>
              </w:rPr>
              <w:t xml:space="preserve">7</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1">
            <w:pPr>
              <w:rPr/>
            </w:pPr>
            <w:r w:rsidDel="00000000" w:rsidR="00000000" w:rsidRPr="00000000">
              <w:rPr>
                <w:rtl w:val="0"/>
              </w:rPr>
              <w:t xml:space="preserve">Health Motivation (HM):</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2">
            <w:pPr>
              <w:rPr/>
            </w:pPr>
            <w:r w:rsidDel="00000000" w:rsidR="00000000" w:rsidRPr="00000000">
              <w:rPr>
                <w:rtl w:val="0"/>
              </w:rPr>
              <w:t xml:space="preserve">HM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3">
            <w:pPr>
              <w:rPr/>
            </w:pPr>
            <w:r w:rsidDel="00000000" w:rsidR="00000000" w:rsidRPr="00000000">
              <w:rPr>
                <w:rtl w:val="0"/>
              </w:rPr>
              <w:t xml:space="preserve">I am motivated to improve my health by using at-home health technology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4">
            <w:pPr>
              <w:rPr/>
            </w:pPr>
            <w:r w:rsidDel="00000000" w:rsidR="00000000" w:rsidRPr="00000000">
              <w:rPr>
                <w:rtl w:val="0"/>
              </w:rPr>
              <w:t xml:space="preserve">1 = Strongly Disagree, 2 = Disagree, 3 = Neutral, 4 = Agree, 5 = Strongly Agree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5">
            <w:pPr>
              <w:rPr/>
            </w:pPr>
            <w:r w:rsidDel="00000000" w:rsidR="00000000" w:rsidRPr="00000000">
              <w:rPr>
                <w:rtl w:val="0"/>
              </w:rPr>
              <w:t xml:space="preserve">(Ryan &amp; Deci, 2000); (Schwarzer, 1992). </w:t>
            </w:r>
          </w:p>
        </w:tc>
      </w:tr>
      <w:tr>
        <w:trPr>
          <w:cantSplit w:val="0"/>
          <w:trHeight w:val="15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8">
            <w:pPr>
              <w:rPr/>
            </w:pPr>
            <w:r w:rsidDel="00000000" w:rsidR="00000000" w:rsidRPr="00000000">
              <w:rPr>
                <w:rtl w:val="0"/>
              </w:rPr>
              <w:t xml:space="preserve">HM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9">
            <w:pPr>
              <w:rPr/>
            </w:pPr>
            <w:r w:rsidDel="00000000" w:rsidR="00000000" w:rsidRPr="00000000">
              <w:rPr>
                <w:rtl w:val="0"/>
              </w:rPr>
              <w:t xml:space="preserve">I use this technology to achieve better physical fitness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6A">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5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E">
            <w:pPr>
              <w:rPr/>
            </w:pPr>
            <w:r w:rsidDel="00000000" w:rsidR="00000000" w:rsidRPr="00000000">
              <w:rPr>
                <w:rtl w:val="0"/>
              </w:rPr>
              <w:t xml:space="preserve">HM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F">
            <w:pPr>
              <w:rPr/>
            </w:pPr>
            <w:r w:rsidDel="00000000" w:rsidR="00000000" w:rsidRPr="00000000">
              <w:rPr>
                <w:rtl w:val="0"/>
              </w:rPr>
              <w:t xml:space="preserve">This technology helps me meet my health goals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0">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6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4">
            <w:pPr>
              <w:rPr/>
            </w:pPr>
            <w:r w:rsidDel="00000000" w:rsidR="00000000" w:rsidRPr="00000000">
              <w:rPr>
                <w:rtl w:val="0"/>
              </w:rPr>
              <w:t xml:space="preserve">HM 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5">
            <w:pPr>
              <w:rPr/>
            </w:pPr>
            <w:r w:rsidDel="00000000" w:rsidR="00000000" w:rsidRPr="00000000">
              <w:rPr>
                <w:rtl w:val="0"/>
              </w:rPr>
              <w:t xml:space="preserve">I believe that biomarker testing is important for improving my personal wellness.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6">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78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8">
            <w:pPr>
              <w:rPr/>
            </w:pPr>
            <w:r w:rsidDel="00000000" w:rsidR="00000000" w:rsidRPr="00000000">
              <w:rPr>
                <w:rtl w:val="0"/>
              </w:rPr>
              <w:t xml:space="preserve">8</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9">
            <w:pPr>
              <w:rPr/>
            </w:pPr>
            <w:r w:rsidDel="00000000" w:rsidR="00000000" w:rsidRPr="00000000">
              <w:rPr>
                <w:rtl w:val="0"/>
              </w:rPr>
              <w:t xml:space="preserve">Personal Innovativeness (PI):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A">
            <w:pPr>
              <w:rPr/>
            </w:pPr>
            <w:r w:rsidDel="00000000" w:rsidR="00000000" w:rsidRPr="00000000">
              <w:rPr>
                <w:rtl w:val="0"/>
              </w:rPr>
              <w:t xml:space="preserve">PI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B">
            <w:pPr>
              <w:rPr/>
            </w:pPr>
            <w:r w:rsidDel="00000000" w:rsidR="00000000" w:rsidRPr="00000000">
              <w:rPr>
                <w:rtl w:val="0"/>
              </w:rPr>
              <w:t xml:space="preserve">I am usually one of the first to try new health technologies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7C">
            <w:pPr>
              <w:rPr/>
            </w:pPr>
            <w:r w:rsidDel="00000000" w:rsidR="00000000" w:rsidRPr="00000000">
              <w:rPr>
                <w:rtl w:val="0"/>
              </w:rPr>
              <w:t xml:space="preserve">1 = Strongly Disagree, 2 = Disagree, 3 = Neutral, 4 = Agree, 5 = Strongly Agree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D">
            <w:pPr>
              <w:rPr/>
            </w:pPr>
            <w:r w:rsidDel="00000000" w:rsidR="00000000" w:rsidRPr="00000000">
              <w:rPr>
                <w:rtl w:val="0"/>
              </w:rPr>
              <w:t xml:space="preserve">(Agarwal &amp; Prasad, 1998); (Thatcher et al., 2002)</w:t>
            </w:r>
          </w:p>
        </w:tc>
      </w:tr>
      <w:tr>
        <w:trPr>
          <w:cantSplit w:val="0"/>
          <w:trHeight w:val="17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0">
            <w:pPr>
              <w:rPr/>
            </w:pPr>
            <w:r w:rsidDel="00000000" w:rsidR="00000000" w:rsidRPr="00000000">
              <w:rPr>
                <w:rtl w:val="0"/>
              </w:rPr>
              <w:t xml:space="preserve">PI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1">
            <w:pPr>
              <w:rPr/>
            </w:pPr>
            <w:r w:rsidDel="00000000" w:rsidR="00000000" w:rsidRPr="00000000">
              <w:rPr>
                <w:rtl w:val="0"/>
              </w:rPr>
              <w:t xml:space="preserve">I like experimenting with new health technologies, even if they are unfamiliar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2">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8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6">
            <w:pPr>
              <w:rPr/>
            </w:pPr>
            <w:r w:rsidDel="00000000" w:rsidR="00000000" w:rsidRPr="00000000">
              <w:rPr>
                <w:rtl w:val="0"/>
              </w:rPr>
              <w:t xml:space="preserve">PI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7">
            <w:pPr>
              <w:rPr/>
            </w:pPr>
            <w:r w:rsidDel="00000000" w:rsidR="00000000" w:rsidRPr="00000000">
              <w:rPr>
                <w:rtl w:val="0"/>
              </w:rPr>
              <w:t xml:space="preserve">I prefer trying new things, even if I’m unsure if they’ll work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8">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9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A">
            <w:pPr>
              <w:rPr/>
            </w:pPr>
            <w:r w:rsidDel="00000000" w:rsidR="00000000" w:rsidRPr="00000000">
              <w:rPr>
                <w:rtl w:val="0"/>
              </w:rPr>
              <w:t xml:space="preserve">9</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B">
            <w:pPr>
              <w:rPr/>
            </w:pPr>
            <w:r w:rsidDel="00000000" w:rsidR="00000000" w:rsidRPr="00000000">
              <w:rPr>
                <w:rtl w:val="0"/>
              </w:rPr>
              <w:t xml:space="preserve">Behavioral Intention (BI):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C">
            <w:pPr>
              <w:rPr/>
            </w:pPr>
            <w:r w:rsidDel="00000000" w:rsidR="00000000" w:rsidRPr="00000000">
              <w:rPr>
                <w:rtl w:val="0"/>
              </w:rPr>
              <w:t xml:space="preserve">BI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D">
            <w:pPr>
              <w:rPr/>
            </w:pPr>
            <w:r w:rsidDel="00000000" w:rsidR="00000000" w:rsidRPr="00000000">
              <w:rPr>
                <w:rtl w:val="0"/>
              </w:rPr>
              <w:t xml:space="preserve">I intend to use at-home health technologies regularly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8E">
            <w:pPr>
              <w:rPr/>
            </w:pPr>
            <w:r w:rsidDel="00000000" w:rsidR="00000000" w:rsidRPr="00000000">
              <w:rPr>
                <w:rtl w:val="0"/>
              </w:rPr>
              <w:t xml:space="preserve">1 = Strongly Disagree, 2 = Disagree, 3 = Neutral, 4 = Agree, 5 = Strongly Agree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F">
            <w:pPr>
              <w:rPr/>
            </w:pPr>
            <w:r w:rsidDel="00000000" w:rsidR="00000000" w:rsidRPr="00000000">
              <w:rPr>
                <w:rtl w:val="0"/>
              </w:rPr>
              <w:t xml:space="preserve">(Venkatesh et al., 2012); (Venkatesh &amp; Davis, 2000)</w:t>
            </w:r>
          </w:p>
        </w:tc>
      </w:tr>
      <w:tr>
        <w:trPr>
          <w:cantSplit w:val="0"/>
          <w:trHeight w:val="164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2">
            <w:pPr>
              <w:rPr/>
            </w:pPr>
            <w:r w:rsidDel="00000000" w:rsidR="00000000" w:rsidRPr="00000000">
              <w:rPr>
                <w:rtl w:val="0"/>
              </w:rPr>
              <w:t xml:space="preserve">BI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3">
            <w:pPr>
              <w:rPr/>
            </w:pPr>
            <w:r w:rsidDel="00000000" w:rsidR="00000000" w:rsidRPr="00000000">
              <w:rPr>
                <w:rtl w:val="0"/>
              </w:rPr>
              <w:t xml:space="preserve">I plan to use this technology in the future to improve my health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4">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7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8">
            <w:pPr>
              <w:rPr/>
            </w:pPr>
            <w:r w:rsidDel="00000000" w:rsidR="00000000" w:rsidRPr="00000000">
              <w:rPr>
                <w:rtl w:val="0"/>
              </w:rPr>
              <w:t xml:space="preserve">BI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9">
            <w:pPr>
              <w:rPr/>
            </w:pPr>
            <w:r w:rsidDel="00000000" w:rsidR="00000000" w:rsidRPr="00000000">
              <w:rPr>
                <w:rtl w:val="0"/>
              </w:rPr>
              <w:t xml:space="preserve">I will continue using this technology because it benefits my well-being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9A">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82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C">
            <w:pPr>
              <w:rPr/>
            </w:pPr>
            <w:r w:rsidDel="00000000" w:rsidR="00000000" w:rsidRPr="00000000">
              <w:rPr>
                <w:rtl w:val="0"/>
              </w:rPr>
              <w:t xml:space="preserve">10</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D">
            <w:pPr>
              <w:rPr/>
            </w:pPr>
            <w:r w:rsidDel="00000000" w:rsidR="00000000" w:rsidRPr="00000000">
              <w:rPr>
                <w:rtl w:val="0"/>
              </w:rPr>
              <w:t xml:space="preserve">Actual Use of Technology (AUT):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E">
            <w:pPr>
              <w:rPr/>
            </w:pPr>
            <w:r w:rsidDel="00000000" w:rsidR="00000000" w:rsidRPr="00000000">
              <w:rPr>
                <w:rtl w:val="0"/>
              </w:rPr>
              <w:t xml:space="preserve">AUT 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F">
            <w:pPr>
              <w:rPr/>
            </w:pPr>
            <w:r w:rsidDel="00000000" w:rsidR="00000000" w:rsidRPr="00000000">
              <w:rPr>
                <w:rtl w:val="0"/>
              </w:rPr>
              <w:t xml:space="preserve">I use at-home health technology regularly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0">
            <w:pPr>
              <w:rPr/>
            </w:pPr>
            <w:r w:rsidDel="00000000" w:rsidR="00000000" w:rsidRPr="00000000">
              <w:rPr>
                <w:rtl w:val="0"/>
              </w:rPr>
              <w:t xml:space="preserve">1 = Strongly Disagree, 2 = Disagree, 3 = Neutral, 4 = Agree, 5 = Strongly Agree</w:t>
            </w:r>
          </w:p>
        </w:tc>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1">
            <w:pPr>
              <w:rPr/>
            </w:pPr>
            <w:r w:rsidDel="00000000" w:rsidR="00000000" w:rsidRPr="00000000">
              <w:rPr>
                <w:rtl w:val="0"/>
              </w:rPr>
              <w:t xml:space="preserve">(Davis, 1989); (Venkatesh &amp; Bala, 2008)</w:t>
            </w:r>
          </w:p>
        </w:tc>
      </w:tr>
      <w:tr>
        <w:trPr>
          <w:cantSplit w:val="0"/>
          <w:trHeight w:val="148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4">
            <w:pPr>
              <w:rPr/>
            </w:pPr>
            <w:r w:rsidDel="00000000" w:rsidR="00000000" w:rsidRPr="00000000">
              <w:rPr>
                <w:rtl w:val="0"/>
              </w:rPr>
              <w:t xml:space="preserve">AUT 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5">
            <w:pPr>
              <w:rPr/>
            </w:pPr>
            <w:r w:rsidDel="00000000" w:rsidR="00000000" w:rsidRPr="00000000">
              <w:rPr>
                <w:rtl w:val="0"/>
              </w:rPr>
              <w:t xml:space="preserve">I have integrated at-home health technology into my routine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6">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152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A">
            <w:pPr>
              <w:rPr/>
            </w:pPr>
            <w:r w:rsidDel="00000000" w:rsidR="00000000" w:rsidRPr="00000000">
              <w:rPr>
                <w:rtl w:val="0"/>
              </w:rPr>
              <w:t xml:space="preserve">AUT 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B">
            <w:pPr>
              <w:rPr/>
            </w:pPr>
            <w:r w:rsidDel="00000000" w:rsidR="00000000" w:rsidRPr="00000000">
              <w:rPr>
                <w:rtl w:val="0"/>
              </w:rPr>
              <w:t xml:space="preserve">I actively use this technology to improve my health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AC">
            <w:pPr>
              <w:rPr/>
            </w:pPr>
            <w:r w:rsidDel="00000000" w:rsidR="00000000" w:rsidRPr="00000000">
              <w:rPr>
                <w:rtl w:val="0"/>
              </w:rPr>
              <w:t xml:space="preserve">1 = Strongly Disagree, 2 = Disagree, 3 = Neutral, 4 = Agree, 5 = Strongly Agree</w:t>
            </w:r>
          </w:p>
        </w:tc>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3AE">
      <w:pPr>
        <w:rPr>
          <w:b w:val="1"/>
        </w:rPr>
      </w:pPr>
      <w:r w:rsidDel="00000000" w:rsidR="00000000" w:rsidRPr="00000000">
        <w:rPr>
          <w:rtl w:val="0"/>
        </w:rPr>
      </w:r>
    </w:p>
    <w:p w:rsidR="00000000" w:rsidDel="00000000" w:rsidP="00000000" w:rsidRDefault="00000000" w:rsidRPr="00000000" w14:paraId="000003AF">
      <w:pPr>
        <w:rPr>
          <w:b w:val="1"/>
        </w:rPr>
      </w:pPr>
      <w:r w:rsidDel="00000000" w:rsidR="00000000" w:rsidRPr="00000000">
        <w:rPr>
          <w:b w:val="1"/>
          <w:rtl w:val="0"/>
        </w:rPr>
        <w:t xml:space="preserve">3.4 Data Analysis:</w:t>
      </w:r>
    </w:p>
    <w:p w:rsidR="00000000" w:rsidDel="00000000" w:rsidP="00000000" w:rsidRDefault="00000000" w:rsidRPr="00000000" w14:paraId="000003B0">
      <w:pPr>
        <w:spacing w:after="240" w:before="240" w:lineRule="auto"/>
        <w:jc w:val="both"/>
        <w:rPr/>
      </w:pPr>
      <w:r w:rsidDel="00000000" w:rsidR="00000000" w:rsidRPr="00000000">
        <w:rPr>
          <w:rtl w:val="0"/>
        </w:rPr>
        <w:t xml:space="preserve">To test the hypotheses, this study employed Partial Least Squares Structural Equation Modeling (PLS-SEM) using SmartPLS 4.0, a nonparametric, variance-based method (Ringle et al., 2015). PLS-SEM is particularly well-suited for predictive and exploratory research in the behavioral and social sciences, especially when models are complex and theory is still evolving (Hair et al., 2019, 2022). Unlike covariance-based SEM (CB-SEM), which requires strong theoretical backing and strict assumptions, PLS-SEM handles composite constructs flexibly and is better suited for data with limited measurement models (Rigdon et al., 2017; Saari et al., 2021).</w:t>
      </w:r>
    </w:p>
    <w:p w:rsidR="00000000" w:rsidDel="00000000" w:rsidP="00000000" w:rsidRDefault="00000000" w:rsidRPr="00000000" w14:paraId="000003B1">
      <w:pPr>
        <w:spacing w:after="240" w:before="240" w:lineRule="auto"/>
        <w:jc w:val="both"/>
        <w:rPr/>
      </w:pPr>
      <w:r w:rsidDel="00000000" w:rsidR="00000000" w:rsidRPr="00000000">
        <w:rPr>
          <w:rtl w:val="0"/>
        </w:rPr>
        <w:t xml:space="preserve">In contrast to CB-SEM, which treats constructs as common factors with indeterminate scores (Steiger, 1979), PLS-SEM models constructs as weighted composites that maximize the explained variance of endogenous variables (Shmueli et al., 2016). This makes PLS-SEM particularly effective for generating practical, prediction-driven insights relevant to managerial decision-making. Given the exploratory nature of this research, PLS-SEM was preferred over CB-SEM.</w:t>
      </w:r>
    </w:p>
    <w:p w:rsidR="00000000" w:rsidDel="00000000" w:rsidP="00000000" w:rsidRDefault="00000000" w:rsidRPr="00000000" w14:paraId="000003B2">
      <w:pPr>
        <w:spacing w:after="240" w:before="240" w:lineRule="auto"/>
        <w:jc w:val="both"/>
        <w:rPr/>
      </w:pPr>
      <w:r w:rsidDel="00000000" w:rsidR="00000000" w:rsidRPr="00000000">
        <w:rPr>
          <w:rtl w:val="0"/>
        </w:rPr>
        <w:t xml:space="preserve">In addition, this study employed Fuzzy-set Qualitative Comparative Analysis (fsQCA) to capture nonlinear, configurational relationships that are often missed by SEM or regression models (Pappas &amp; Woodside, 2021; Ragin, 2009). FsQCA identifies multiple, equally effective combinations of antecedents (predictors) that can lead to the same outcome, accommodating causal complexity. The fsQCA 3.0 software was used to analyze these configurations. This hybrid approach aligns with prior studies that have successfully combined SEM and fsQCA in complex, exploratory research domains (Wu, 2016; Seyfi et al., 2021).</w:t>
      </w:r>
    </w:p>
    <w:p w:rsidR="00000000" w:rsidDel="00000000" w:rsidP="00000000" w:rsidRDefault="00000000" w:rsidRPr="00000000" w14:paraId="000003B3">
      <w:pPr>
        <w:jc w:val="both"/>
        <w:rPr/>
      </w:pPr>
      <w:r w:rsidDel="00000000" w:rsidR="00000000" w:rsidRPr="00000000">
        <w:rPr>
          <w:rtl w:val="0"/>
        </w:rPr>
      </w:r>
    </w:p>
    <w:p w:rsidR="00000000" w:rsidDel="00000000" w:rsidP="00000000" w:rsidRDefault="00000000" w:rsidRPr="00000000" w14:paraId="000003B4">
      <w:pPr>
        <w:jc w:val="both"/>
        <w:rPr>
          <w:b w:val="1"/>
          <w:smallCaps w:val="1"/>
          <w:color w:val="0d0d0d"/>
          <w:highlight w:val="white"/>
        </w:rPr>
      </w:pPr>
      <w:r w:rsidDel="00000000" w:rsidR="00000000" w:rsidRPr="00000000">
        <w:rPr>
          <w:rtl w:val="0"/>
        </w:rPr>
      </w:r>
    </w:p>
    <w:p w:rsidR="00000000" w:rsidDel="00000000" w:rsidP="00000000" w:rsidRDefault="00000000" w:rsidRPr="00000000" w14:paraId="000003B5">
      <w:pPr>
        <w:jc w:val="both"/>
        <w:rPr>
          <w:b w:val="1"/>
          <w:smallCaps w:val="1"/>
          <w:color w:val="0d0d0d"/>
          <w:highlight w:val="white"/>
        </w:rPr>
      </w:pPr>
      <w:r w:rsidDel="00000000" w:rsidR="00000000" w:rsidRPr="00000000">
        <w:rPr>
          <w:rtl w:val="0"/>
        </w:rPr>
      </w:r>
    </w:p>
    <w:p w:rsidR="00000000" w:rsidDel="00000000" w:rsidP="00000000" w:rsidRDefault="00000000" w:rsidRPr="00000000" w14:paraId="000003B6">
      <w:pPr>
        <w:jc w:val="both"/>
        <w:rPr>
          <w:b w:val="1"/>
          <w:smallCaps w:val="1"/>
          <w:color w:val="0d0d0d"/>
          <w:highlight w:val="white"/>
        </w:rPr>
      </w:pPr>
      <w:r w:rsidDel="00000000" w:rsidR="00000000" w:rsidRPr="00000000">
        <w:rPr>
          <w:rtl w:val="0"/>
        </w:rPr>
      </w:r>
    </w:p>
    <w:p w:rsidR="00000000" w:rsidDel="00000000" w:rsidP="00000000" w:rsidRDefault="00000000" w:rsidRPr="00000000" w14:paraId="000003B7">
      <w:pPr>
        <w:jc w:val="both"/>
        <w:rPr>
          <w:b w:val="1"/>
          <w:smallCaps w:val="1"/>
          <w:color w:val="0d0d0d"/>
          <w:highlight w:val="white"/>
        </w:rPr>
      </w:pPr>
      <w:r w:rsidDel="00000000" w:rsidR="00000000" w:rsidRPr="00000000">
        <w:rPr>
          <w:rtl w:val="0"/>
        </w:rPr>
      </w:r>
    </w:p>
    <w:p w:rsidR="00000000" w:rsidDel="00000000" w:rsidP="00000000" w:rsidRDefault="00000000" w:rsidRPr="00000000" w14:paraId="000003B8">
      <w:pPr>
        <w:jc w:val="both"/>
        <w:rPr>
          <w:b w:val="1"/>
          <w:smallCaps w:val="1"/>
          <w:color w:val="0d0d0d"/>
          <w:highlight w:val="white"/>
        </w:rPr>
      </w:pPr>
      <w:r w:rsidDel="00000000" w:rsidR="00000000" w:rsidRPr="00000000">
        <w:rPr>
          <w:rtl w:val="0"/>
        </w:rPr>
      </w:r>
    </w:p>
    <w:p w:rsidR="00000000" w:rsidDel="00000000" w:rsidP="00000000" w:rsidRDefault="00000000" w:rsidRPr="00000000" w14:paraId="000003B9">
      <w:pPr>
        <w:jc w:val="both"/>
        <w:rPr>
          <w:b w:val="1"/>
          <w:smallCaps w:val="1"/>
          <w:color w:val="0d0d0d"/>
          <w:highlight w:val="white"/>
        </w:rPr>
      </w:pPr>
      <w:r w:rsidDel="00000000" w:rsidR="00000000" w:rsidRPr="00000000">
        <w:rPr>
          <w:rtl w:val="0"/>
        </w:rPr>
      </w:r>
    </w:p>
    <w:p w:rsidR="00000000" w:rsidDel="00000000" w:rsidP="00000000" w:rsidRDefault="00000000" w:rsidRPr="00000000" w14:paraId="000003BA">
      <w:pPr>
        <w:jc w:val="both"/>
        <w:rPr>
          <w:b w:val="1"/>
          <w:smallCaps w:val="1"/>
          <w:color w:val="0d0d0d"/>
          <w:highlight w:val="white"/>
        </w:rPr>
      </w:pPr>
      <w:r w:rsidDel="00000000" w:rsidR="00000000" w:rsidRPr="00000000">
        <w:rPr>
          <w:rtl w:val="0"/>
        </w:rPr>
      </w:r>
    </w:p>
    <w:p w:rsidR="00000000" w:rsidDel="00000000" w:rsidP="00000000" w:rsidRDefault="00000000" w:rsidRPr="00000000" w14:paraId="000003BB">
      <w:pPr>
        <w:jc w:val="both"/>
        <w:rPr>
          <w:b w:val="1"/>
          <w:smallCaps w:val="1"/>
          <w:color w:val="0d0d0d"/>
          <w:highlight w:val="white"/>
        </w:rPr>
      </w:pPr>
      <w:r w:rsidDel="00000000" w:rsidR="00000000" w:rsidRPr="00000000">
        <w:rPr>
          <w:rtl w:val="0"/>
        </w:rPr>
      </w:r>
    </w:p>
    <w:p w:rsidR="00000000" w:rsidDel="00000000" w:rsidP="00000000" w:rsidRDefault="00000000" w:rsidRPr="00000000" w14:paraId="000003BC">
      <w:pPr>
        <w:jc w:val="both"/>
        <w:rPr>
          <w:b w:val="1"/>
          <w:smallCaps w:val="1"/>
          <w:color w:val="0d0d0d"/>
          <w:highlight w:val="white"/>
        </w:rPr>
      </w:pPr>
      <w:r w:rsidDel="00000000" w:rsidR="00000000" w:rsidRPr="00000000">
        <w:rPr>
          <w:rtl w:val="0"/>
        </w:rPr>
      </w:r>
    </w:p>
    <w:p w:rsidR="00000000" w:rsidDel="00000000" w:rsidP="00000000" w:rsidRDefault="00000000" w:rsidRPr="00000000" w14:paraId="000003BD">
      <w:pPr>
        <w:jc w:val="center"/>
        <w:rPr>
          <w:smallCaps w:val="1"/>
          <w:color w:val="0d0d0d"/>
          <w:highlight w:val="white"/>
        </w:rPr>
      </w:pPr>
      <w:r w:rsidDel="00000000" w:rsidR="00000000" w:rsidRPr="00000000">
        <w:rPr>
          <w:b w:val="1"/>
          <w:smallCaps w:val="1"/>
          <w:color w:val="0d0d0d"/>
          <w:highlight w:val="white"/>
          <w:rtl w:val="0"/>
        </w:rPr>
        <w:t xml:space="preserve">CHAPTER IV:</w:t>
      </w:r>
      <w:r w:rsidDel="00000000" w:rsidR="00000000" w:rsidRPr="00000000">
        <w:rPr>
          <w:rtl w:val="0"/>
        </w:rPr>
      </w:r>
    </w:p>
    <w:p w:rsidR="00000000" w:rsidDel="00000000" w:rsidP="00000000" w:rsidRDefault="00000000" w:rsidRPr="00000000" w14:paraId="000003BE">
      <w:pPr>
        <w:rPr>
          <w:b w:val="1"/>
          <w:smallCaps w:val="1"/>
          <w:color w:val="0d0d0d"/>
          <w:highlight w:val="white"/>
        </w:rPr>
      </w:pPr>
      <w:r w:rsidDel="00000000" w:rsidR="00000000" w:rsidRPr="00000000">
        <w:rPr>
          <w:b w:val="1"/>
          <w:smallCaps w:val="1"/>
          <w:color w:val="0d0d0d"/>
          <w:highlight w:val="white"/>
          <w:rtl w:val="0"/>
        </w:rPr>
        <w:t xml:space="preserve">RESULTS</w:t>
      </w:r>
    </w:p>
    <w:p w:rsidR="00000000" w:rsidDel="00000000" w:rsidP="00000000" w:rsidRDefault="00000000" w:rsidRPr="00000000" w14:paraId="000003BF">
      <w:pPr>
        <w:pStyle w:val="Heading3"/>
        <w:numPr>
          <w:ilvl w:val="1"/>
          <w:numId w:val="19"/>
        </w:numPr>
        <w:ind w:left="360" w:hanging="360"/>
        <w:rPr>
          <w:sz w:val="24"/>
          <w:szCs w:val="24"/>
        </w:rPr>
      </w:pPr>
      <w:r w:rsidDel="00000000" w:rsidR="00000000" w:rsidRPr="00000000">
        <w:rPr>
          <w:b w:val="1"/>
          <w:sz w:val="24"/>
          <w:szCs w:val="24"/>
          <w:rtl w:val="0"/>
        </w:rPr>
        <w:t xml:space="preserve">Demographic Profile of Respondents</w:t>
      </w:r>
      <w:r w:rsidDel="00000000" w:rsidR="00000000" w:rsidRPr="00000000">
        <w:rPr>
          <w:rtl w:val="0"/>
        </w:rPr>
      </w:r>
    </w:p>
    <w:p w:rsidR="00000000" w:rsidDel="00000000" w:rsidP="00000000" w:rsidRDefault="00000000" w:rsidRPr="00000000" w14:paraId="000003C0">
      <w:pPr>
        <w:spacing w:after="280" w:before="280" w:lineRule="auto"/>
        <w:jc w:val="both"/>
        <w:rPr/>
      </w:pPr>
      <w:r w:rsidDel="00000000" w:rsidR="00000000" w:rsidRPr="00000000">
        <w:rPr>
          <w:rtl w:val="0"/>
        </w:rPr>
        <w:t xml:space="preserve">To investigate the behavioral dynamics underlying the adoption of preventive health technologies, a quantitative survey was prepared and initially conducted in California, USA. While the research originated in California, the online nature of the survey allowed for broad participation, capturing responses not only from across the state, but also from other regions of the United States and internationally. The diverse demographic profile—spanning age, gender, education, and geography—enabled a nuanced analysis of trust, risk perception, and user motivation across various user segments. Given California’s status as a global hub for wellness innovation, the insights drawn from this sample offer both contextual depth and cross-market relevance, helping to inform a broader understanding of consumer adoption in decentralized, preventive health ecosystems.</w:t>
      </w:r>
    </w:p>
    <w:p w:rsidR="00000000" w:rsidDel="00000000" w:rsidP="00000000" w:rsidRDefault="00000000" w:rsidRPr="00000000" w14:paraId="000003C1">
      <w:pPr>
        <w:rPr>
          <w:b w:val="1"/>
          <w:highlight w:val="white"/>
        </w:rPr>
      </w:pPr>
      <w:r w:rsidDel="00000000" w:rsidR="00000000" w:rsidRPr="00000000">
        <w:rPr>
          <w:b w:val="1"/>
          <w:highlight w:val="white"/>
          <w:rtl w:val="0"/>
        </w:rPr>
        <w:t xml:space="preserve">Table 4.1: Demographic Profile of the Respondents</w:t>
      </w:r>
    </w:p>
    <w:p w:rsidR="00000000" w:rsidDel="00000000" w:rsidP="00000000" w:rsidRDefault="00000000" w:rsidRPr="00000000" w14:paraId="000003C2">
      <w:pPr>
        <w:rPr>
          <w:b w:val="1"/>
          <w:highlight w:val="white"/>
        </w:rPr>
      </w:pPr>
      <w:r w:rsidDel="00000000" w:rsidR="00000000" w:rsidRPr="00000000">
        <w:rPr>
          <w:rtl w:val="0"/>
        </w:rPr>
      </w:r>
    </w:p>
    <w:tbl>
      <w:tblPr>
        <w:tblStyle w:val="Table3"/>
        <w:tblW w:w="10420.0" w:type="dxa"/>
        <w:jc w:val="center"/>
        <w:tblLayout w:type="fixed"/>
        <w:tblLook w:val="0400"/>
      </w:tblPr>
      <w:tblGrid>
        <w:gridCol w:w="1686"/>
        <w:gridCol w:w="5574"/>
        <w:gridCol w:w="1580"/>
        <w:gridCol w:w="1580"/>
        <w:tblGridChange w:id="0">
          <w:tblGrid>
            <w:gridCol w:w="1686"/>
            <w:gridCol w:w="5574"/>
            <w:gridCol w:w="1580"/>
            <w:gridCol w:w="1580"/>
          </w:tblGrid>
        </w:tblGridChange>
      </w:tblGrid>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C3">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Demographic Profile of the Respondents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5">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Frequency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6">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Percentage</w:t>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7">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Gender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Male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381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63.5</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Female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36.5</w:t>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F">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Age Group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243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41</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35-44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45-54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30</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55-64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w:t>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7">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Occupation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Full-time employment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73</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Homemaker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Part-time employment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Retired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Self-employed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Student</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F">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Education Level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Associate’s Degree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Bachelor’s Degree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77</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Graduate Degree (Master’s, Professional, or Doctoral)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High School or Less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w:t>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F">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Income Level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$2,000 - $4,000 per month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$4,000 - $6,000 per month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38</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$6,000 - $8,500 per month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9">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17</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$8,500 - $12,500 per month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27</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Over $12,500 per month</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Under $2,000 per month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6">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w:t>
            </w:r>
          </w:p>
        </w:tc>
      </w:tr>
    </w:tbl>
    <w:p w:rsidR="00000000" w:rsidDel="00000000" w:rsidP="00000000" w:rsidRDefault="00000000" w:rsidRPr="00000000" w14:paraId="00000427">
      <w:pPr>
        <w:spacing w:after="240" w:before="240" w:lineRule="auto"/>
        <w:jc w:val="both"/>
        <w:rPr/>
      </w:pPr>
      <w:r w:rsidDel="00000000" w:rsidR="00000000" w:rsidRPr="00000000">
        <w:rPr>
          <w:rtl w:val="0"/>
        </w:rPr>
        <w:t xml:space="preserve">The research was carried out on 600 respondents, primarily located in California, USA, with the survey conducted online, allowing for additional national and international participation. This sample captured consumer behavior across a broad range of demographics, offering strong contextual relevance for studying trust, risk, and adoption of wellness technologies.</w:t>
      </w:r>
    </w:p>
    <w:p w:rsidR="00000000" w:rsidDel="00000000" w:rsidP="00000000" w:rsidRDefault="00000000" w:rsidRPr="00000000" w14:paraId="00000428">
      <w:pPr>
        <w:spacing w:after="240" w:before="240" w:lineRule="auto"/>
        <w:jc w:val="both"/>
        <w:rPr/>
      </w:pPr>
      <w:r w:rsidDel="00000000" w:rsidR="00000000" w:rsidRPr="00000000">
        <w:rPr>
          <w:rtl w:val="0"/>
        </w:rPr>
        <w:t xml:space="preserve">Gender distribution was predominantly male (63.5%), with females representing 36.5%. The most represented age group was 25–34 (41%), followed by 45–54 (30%) and 35–44 (19%), indicating strong representation of working-age adults. Only 7% of respondents were aged 18–24, with the 55–64 and 65+ brackets comprising 2% and 1%, respectively.</w:t>
      </w:r>
    </w:p>
    <w:p w:rsidR="00000000" w:rsidDel="00000000" w:rsidP="00000000" w:rsidRDefault="00000000" w:rsidRPr="00000000" w14:paraId="00000429">
      <w:pPr>
        <w:spacing w:after="240" w:before="240" w:lineRule="auto"/>
        <w:jc w:val="both"/>
        <w:rPr/>
      </w:pPr>
      <w:r w:rsidDel="00000000" w:rsidR="00000000" w:rsidRPr="00000000">
        <w:rPr>
          <w:rtl w:val="0"/>
        </w:rPr>
        <w:t xml:space="preserve">In terms of employment status, 73% reported full-time employment, 17% were self-employed, and 6% were students. Part-time workers, retirees, and homemakers each accounted for 1%. The sample was also highly educated: 77% held a bachelor’s degree and 21% had a graduate or professional qualification.</w:t>
      </w:r>
    </w:p>
    <w:p w:rsidR="00000000" w:rsidDel="00000000" w:rsidP="00000000" w:rsidRDefault="00000000" w:rsidRPr="00000000" w14:paraId="0000042A">
      <w:pPr>
        <w:spacing w:after="240" w:before="240" w:lineRule="auto"/>
        <w:jc w:val="both"/>
        <w:rPr/>
      </w:pPr>
      <w:r w:rsidDel="00000000" w:rsidR="00000000" w:rsidRPr="00000000">
        <w:rPr>
          <w:rtl w:val="0"/>
        </w:rPr>
        <w:t xml:space="preserve">With respect to monthly income, 38% earned between $6,000–$8,500, 27% between $8,500–$12,500, and 7% reported earnings above $12,500. Meanwhile, 8% earned less than $2,000. Collectively, the sample reflects a well-educated, economically active population, providing meaningful insights into the behavior of urban, tech-savvy health consumers in both regulated and emerging wellness markets.</w:t>
      </w:r>
    </w:p>
    <w:p w:rsidR="00000000" w:rsidDel="00000000" w:rsidP="00000000" w:rsidRDefault="00000000" w:rsidRPr="00000000" w14:paraId="0000042B">
      <w:pPr>
        <w:jc w:val="both"/>
        <w:rPr/>
      </w:pPr>
      <w:r w:rsidDel="00000000" w:rsidR="00000000" w:rsidRPr="00000000">
        <w:rPr>
          <w:rtl w:val="0"/>
        </w:rPr>
      </w:r>
    </w:p>
    <w:p w:rsidR="00000000" w:rsidDel="00000000" w:rsidP="00000000" w:rsidRDefault="00000000" w:rsidRPr="00000000" w14:paraId="0000042C">
      <w:pPr>
        <w:jc w:val="both"/>
        <w:rPr/>
      </w:pPr>
      <w:r w:rsidDel="00000000" w:rsidR="00000000" w:rsidRPr="00000000">
        <w:rPr>
          <w:rtl w:val="0"/>
        </w:rPr>
      </w:r>
    </w:p>
    <w:p w:rsidR="00000000" w:rsidDel="00000000" w:rsidP="00000000" w:rsidRDefault="00000000" w:rsidRPr="00000000" w14:paraId="0000042D">
      <w:pPr>
        <w:jc w:val="center"/>
        <w:rPr>
          <w:b w:val="1"/>
        </w:rPr>
      </w:pPr>
      <w:r w:rsidDel="00000000" w:rsidR="00000000" w:rsidRPr="00000000">
        <w:rPr>
          <w:b w:val="1"/>
          <w:rtl w:val="0"/>
        </w:rPr>
        <w:t xml:space="preserve">Table 4.2: The Outer Loadings</w:t>
      </w:r>
    </w:p>
    <w:p w:rsidR="00000000" w:rsidDel="00000000" w:rsidP="00000000" w:rsidRDefault="00000000" w:rsidRPr="00000000" w14:paraId="0000042E">
      <w:pPr>
        <w:jc w:val="both"/>
        <w:rPr/>
      </w:pPr>
      <w:r w:rsidDel="00000000" w:rsidR="00000000" w:rsidRPr="00000000">
        <w:rPr>
          <w:rtl w:val="0"/>
        </w:rPr>
      </w:r>
    </w:p>
    <w:tbl>
      <w:tblPr>
        <w:tblStyle w:val="Table4"/>
        <w:tblW w:w="9380.0" w:type="dxa"/>
        <w:jc w:val="left"/>
        <w:tblInd w:w="-115.0" w:type="dxa"/>
        <w:tblLayout w:type="fixed"/>
        <w:tblLook w:val="0400"/>
      </w:tblPr>
      <w:tblGrid>
        <w:gridCol w:w="780"/>
        <w:gridCol w:w="780"/>
        <w:gridCol w:w="800"/>
        <w:gridCol w:w="760"/>
        <w:gridCol w:w="780"/>
        <w:gridCol w:w="800"/>
        <w:gridCol w:w="820"/>
        <w:gridCol w:w="720"/>
        <w:gridCol w:w="760"/>
        <w:gridCol w:w="760"/>
        <w:gridCol w:w="820"/>
        <w:gridCol w:w="800"/>
        <w:tblGridChange w:id="0">
          <w:tblGrid>
            <w:gridCol w:w="780"/>
            <w:gridCol w:w="780"/>
            <w:gridCol w:w="800"/>
            <w:gridCol w:w="760"/>
            <w:gridCol w:w="780"/>
            <w:gridCol w:w="800"/>
            <w:gridCol w:w="820"/>
            <w:gridCol w:w="720"/>
            <w:gridCol w:w="760"/>
            <w:gridCol w:w="760"/>
            <w:gridCol w:w="820"/>
            <w:gridCol w:w="800"/>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42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30">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AUT</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431">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BI</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432">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EE</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433">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FC</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434">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HM</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435">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PE</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436">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PI</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437">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438">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SI</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439">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TC</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43A">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 x TC</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3B">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AUT1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3C">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0.790</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3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4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4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4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4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4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AUT2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8">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53">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AUT3</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4">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0.859</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5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5F">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BI1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1">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6B">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BI2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6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6D">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0.945</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6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7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7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7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7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7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BI3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9">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83">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EE1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6">
            <w:pPr>
              <w:jc w:val="right"/>
              <w:rPr>
                <w:rFonts w:ascii="Calibri" w:cs="Calibri" w:eastAsia="Calibri" w:hAnsi="Calibri"/>
                <w:color w:val="8b0000"/>
                <w:sz w:val="22"/>
                <w:szCs w:val="22"/>
              </w:rPr>
            </w:pPr>
            <w:r w:rsidDel="00000000" w:rsidR="00000000" w:rsidRPr="00000000">
              <w:rPr>
                <w:rFonts w:ascii="Calibri" w:cs="Calibri" w:eastAsia="Calibri" w:hAnsi="Calibri"/>
                <w:color w:val="8b0000"/>
                <w:sz w:val="22"/>
                <w:szCs w:val="22"/>
                <w:rtl w:val="0"/>
              </w:rPr>
              <w:t xml:space="preserve">0.683</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8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8F">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2">
            <w:pPr>
              <w:jc w:val="right"/>
              <w:rPr>
                <w:rFonts w:ascii="Calibri" w:cs="Calibri" w:eastAsia="Calibri" w:hAnsi="Calibri"/>
                <w:color w:val="8b0000"/>
                <w:sz w:val="22"/>
                <w:szCs w:val="22"/>
              </w:rPr>
            </w:pPr>
            <w:r w:rsidDel="00000000" w:rsidR="00000000" w:rsidRPr="00000000">
              <w:rPr>
                <w:rFonts w:ascii="Calibri" w:cs="Calibri" w:eastAsia="Calibri" w:hAnsi="Calibri"/>
                <w:color w:val="8b0000"/>
                <w:sz w:val="22"/>
                <w:szCs w:val="22"/>
                <w:rtl w:val="0"/>
              </w:rPr>
              <w:t xml:space="preserve">0.692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9B">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EE3</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9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9E">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0.861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A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A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A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A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A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B">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B3">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FC2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7">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0.949</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B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BF">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FC3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3">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CB">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HM1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C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D0">
            <w:pPr>
              <w:jc w:val="right"/>
              <w:rPr>
                <w:rFonts w:ascii="Calibri" w:cs="Calibri" w:eastAsia="Calibri" w:hAnsi="Calibri"/>
                <w:color w:val="8b0000"/>
                <w:sz w:val="22"/>
                <w:szCs w:val="22"/>
              </w:rPr>
            </w:pPr>
            <w:r w:rsidDel="00000000" w:rsidR="00000000" w:rsidRPr="00000000">
              <w:rPr>
                <w:rFonts w:ascii="Calibri" w:cs="Calibri" w:eastAsia="Calibri" w:hAnsi="Calibri"/>
                <w:color w:val="8b0000"/>
                <w:sz w:val="22"/>
                <w:szCs w:val="22"/>
                <w:rtl w:val="0"/>
              </w:rPr>
              <w:t xml:space="preserve">0.676</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D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D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D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D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HM2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C">
            <w:pPr>
              <w:jc w:val="right"/>
              <w:rPr>
                <w:rFonts w:ascii="Calibri" w:cs="Calibri" w:eastAsia="Calibri" w:hAnsi="Calibri"/>
                <w:color w:val="8b0000"/>
                <w:sz w:val="22"/>
                <w:szCs w:val="22"/>
              </w:rPr>
            </w:pPr>
            <w:r w:rsidDel="00000000" w:rsidR="00000000" w:rsidRPr="00000000">
              <w:rPr>
                <w:rFonts w:ascii="Calibri" w:cs="Calibri" w:eastAsia="Calibri" w:hAnsi="Calibri"/>
                <w:color w:val="8b0000"/>
                <w:sz w:val="22"/>
                <w:szCs w:val="22"/>
                <w:rtl w:val="0"/>
              </w:rPr>
              <w:t xml:space="preserve">0.645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E3">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HM3</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8">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0.808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E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EF">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HM4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4">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4FB">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PE1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F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F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4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0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01">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0.921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0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0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0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0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PE2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D">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1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13">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PE3</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9">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0.811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1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1F">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PE4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5">
            <w:pPr>
              <w:jc w:val="right"/>
              <w:rPr>
                <w:rFonts w:ascii="Calibri" w:cs="Calibri" w:eastAsia="Calibri" w:hAnsi="Calibri"/>
                <w:color w:val="8b0000"/>
                <w:sz w:val="22"/>
                <w:szCs w:val="22"/>
              </w:rPr>
            </w:pPr>
            <w:r w:rsidDel="00000000" w:rsidR="00000000" w:rsidRPr="00000000">
              <w:rPr>
                <w:rFonts w:ascii="Calibri" w:cs="Calibri" w:eastAsia="Calibri" w:hAnsi="Calibri"/>
                <w:color w:val="8b0000"/>
                <w:sz w:val="22"/>
                <w:szCs w:val="22"/>
                <w:rtl w:val="0"/>
              </w:rPr>
              <w:t xml:space="preserve">0.406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2B">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PI1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2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2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3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32">
            <w:pPr>
              <w:jc w:val="right"/>
              <w:rPr>
                <w:rFonts w:ascii="Calibri" w:cs="Calibri" w:eastAsia="Calibri" w:hAnsi="Calibri"/>
                <w:color w:val="8b0000"/>
                <w:sz w:val="22"/>
                <w:szCs w:val="22"/>
              </w:rPr>
            </w:pPr>
            <w:r w:rsidDel="00000000" w:rsidR="00000000" w:rsidRPr="00000000">
              <w:rPr>
                <w:rFonts w:ascii="Calibri" w:cs="Calibri" w:eastAsia="Calibri" w:hAnsi="Calibri"/>
                <w:color w:val="8b0000"/>
                <w:sz w:val="22"/>
                <w:szCs w:val="22"/>
                <w:rtl w:val="0"/>
              </w:rPr>
              <w:t xml:space="preserve">0.687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3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3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3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PI2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E">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43">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PI3</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A">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0.871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4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4F">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7">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5B">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5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5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6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6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63">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0.875</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6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6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6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F">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73">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PR4</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B">
            <w:pPr>
              <w:jc w:val="right"/>
              <w:rPr>
                <w:rFonts w:ascii="Calibri" w:cs="Calibri" w:eastAsia="Calibri" w:hAnsi="Calibri"/>
                <w:color w:val="8b0000"/>
                <w:sz w:val="22"/>
                <w:szCs w:val="22"/>
              </w:rPr>
            </w:pPr>
            <w:r w:rsidDel="00000000" w:rsidR="00000000" w:rsidRPr="00000000">
              <w:rPr>
                <w:rFonts w:ascii="Calibri" w:cs="Calibri" w:eastAsia="Calibri" w:hAnsi="Calibri"/>
                <w:color w:val="8b0000"/>
                <w:sz w:val="22"/>
                <w:szCs w:val="22"/>
                <w:rtl w:val="0"/>
              </w:rPr>
              <w:t xml:space="preserve">0.625</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7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7F">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8">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8B">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SI2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8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8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9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9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94">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0.718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9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9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SI3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0">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A3">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TC1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D">
            <w:pPr>
              <w:jc w:val="right"/>
              <w:rPr>
                <w:rFonts w:ascii="Calibri" w:cs="Calibri" w:eastAsia="Calibri" w:hAnsi="Calibri"/>
                <w:color w:val="8b0000"/>
                <w:sz w:val="22"/>
                <w:szCs w:val="22"/>
              </w:rPr>
            </w:pPr>
            <w:r w:rsidDel="00000000" w:rsidR="00000000" w:rsidRPr="00000000">
              <w:rPr>
                <w:rFonts w:ascii="Calibri" w:cs="Calibri" w:eastAsia="Calibri" w:hAnsi="Calibri"/>
                <w:color w:val="8b0000"/>
                <w:sz w:val="22"/>
                <w:szCs w:val="22"/>
                <w:rtl w:val="0"/>
              </w:rPr>
              <w:t xml:space="preserve">0.658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A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AF">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TC2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9">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BB">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TC3</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B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B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C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C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C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C5">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0.811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C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C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 x TC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D2">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1.000</w:t>
            </w:r>
          </w:p>
        </w:tc>
      </w:tr>
    </w:tbl>
    <w:p w:rsidR="00000000" w:rsidDel="00000000" w:rsidP="00000000" w:rsidRDefault="00000000" w:rsidRPr="00000000" w14:paraId="000005D3">
      <w:pPr>
        <w:rPr>
          <w:smallCaps w:val="1"/>
          <w:color w:val="0d0d0d"/>
          <w:highlight w:val="white"/>
        </w:rPr>
      </w:pPr>
      <w:r w:rsidDel="00000000" w:rsidR="00000000" w:rsidRPr="00000000">
        <w:rPr>
          <w:rtl w:val="0"/>
        </w:rPr>
      </w:r>
    </w:p>
    <w:p w:rsidR="00000000" w:rsidDel="00000000" w:rsidP="00000000" w:rsidRDefault="00000000" w:rsidRPr="00000000" w14:paraId="000005D4">
      <w:pPr>
        <w:spacing w:after="240" w:before="240" w:lineRule="auto"/>
        <w:jc w:val="both"/>
        <w:rPr/>
      </w:pPr>
      <w:r w:rsidDel="00000000" w:rsidR="00000000" w:rsidRPr="00000000">
        <w:rPr>
          <w:rtl w:val="0"/>
        </w:rPr>
        <w:t xml:space="preserve">Most indicators in the current model exhibit high factor loadings, exceeding the 0.70 threshold, thereby indicating strong convergent validity. Constructs such as Behavioral Intention (BI), Facilitating Conditions (FC), Performance Expectancy (PE), Personal Innovativeness (PI), Perceived Risk (PR), and Social Influence (SI) show consistently strong loadings, with several items surpassing 0.90.</w:t>
      </w:r>
    </w:p>
    <w:p w:rsidR="00000000" w:rsidDel="00000000" w:rsidP="00000000" w:rsidRDefault="00000000" w:rsidRPr="00000000" w14:paraId="000005D5">
      <w:pPr>
        <w:spacing w:after="240" w:before="240" w:lineRule="auto"/>
        <w:jc w:val="both"/>
        <w:rPr/>
      </w:pPr>
      <w:r w:rsidDel="00000000" w:rsidR="00000000" w:rsidRPr="00000000">
        <w:rPr>
          <w:rtl w:val="0"/>
        </w:rPr>
        <w:t xml:space="preserve">Some indicators fall within the moderate loading range of 0.40 to 0.70, including EE1 (0.683) and EE2 (0.692) under Effort Expectancy, HM1 (0.676) and HM2 (0.645) under Health Motivation, PE4 (0.406) under Performance Expectancy, and TC1 (0.658) under Technology Credibility. While these did not reach the conventional 0.70 threshold, they were retained due to theoretical relevance and because their removal did not significantly enhance Composite Reliability (CR) or Average Variance Extracted (AVE). This approach aligns with Hair et al. (2019), who advocate contextual evaluation of indicators rather than strict reliance on statistical cutoffs.</w:t>
      </w:r>
    </w:p>
    <w:p w:rsidR="00000000" w:rsidDel="00000000" w:rsidP="00000000" w:rsidRDefault="00000000" w:rsidRPr="00000000" w14:paraId="000005D6">
      <w:pPr>
        <w:spacing w:after="240" w:before="240" w:lineRule="auto"/>
        <w:jc w:val="both"/>
        <w:rPr/>
      </w:pPr>
      <w:r w:rsidDel="00000000" w:rsidR="00000000" w:rsidRPr="00000000">
        <w:rPr>
          <w:rtl w:val="0"/>
        </w:rPr>
        <w:t xml:space="preserve">For the interaction term, the product indicator method was employed. As expected in reflective–formative moderation, the indicator displayed a perfect loading of 1.000, validating the construct’s measurement.</w:t>
      </w:r>
    </w:p>
    <w:p w:rsidR="00000000" w:rsidDel="00000000" w:rsidP="00000000" w:rsidRDefault="00000000" w:rsidRPr="00000000" w14:paraId="000005D7">
      <w:pPr>
        <w:spacing w:after="240" w:before="240" w:lineRule="auto"/>
        <w:jc w:val="both"/>
        <w:rPr/>
      </w:pPr>
      <w:r w:rsidDel="00000000" w:rsidR="00000000" w:rsidRPr="00000000">
        <w:rPr>
          <w:rtl w:val="0"/>
        </w:rPr>
        <w:t xml:space="preserve">Overall, the model demonstrates robust construct reliability. The inclusion of moderately loaded indicators is supported both theoretically and methodologically, ensuring the model's relevance and analytical integrity.</w:t>
      </w:r>
    </w:p>
    <w:p w:rsidR="00000000" w:rsidDel="00000000" w:rsidP="00000000" w:rsidRDefault="00000000" w:rsidRPr="00000000" w14:paraId="000005D8">
      <w:pPr>
        <w:spacing w:after="280" w:before="280" w:lineRule="auto"/>
        <w:jc w:val="both"/>
        <w:rPr/>
      </w:pPr>
      <w:r w:rsidDel="00000000" w:rsidR="00000000" w:rsidRPr="00000000">
        <w:rPr>
          <w:rtl w:val="0"/>
        </w:rPr>
      </w:r>
    </w:p>
    <w:p w:rsidR="00000000" w:rsidDel="00000000" w:rsidP="00000000" w:rsidRDefault="00000000" w:rsidRPr="00000000" w14:paraId="000005D9">
      <w:pPr>
        <w:spacing w:after="280" w:before="280" w:lineRule="auto"/>
        <w:jc w:val="both"/>
        <w:rPr/>
      </w:pPr>
      <w:r w:rsidDel="00000000" w:rsidR="00000000" w:rsidRPr="00000000">
        <w:rPr>
          <w:b w:val="1"/>
          <w:rtl w:val="0"/>
        </w:rPr>
        <w:t xml:space="preserve">4.2 Construct Reliability and Validity:</w:t>
      </w:r>
      <w:r w:rsidDel="00000000" w:rsidR="00000000" w:rsidRPr="00000000">
        <w:rPr>
          <w:rtl w:val="0"/>
        </w:rPr>
      </w:r>
    </w:p>
    <w:p w:rsidR="00000000" w:rsidDel="00000000" w:rsidP="00000000" w:rsidRDefault="00000000" w:rsidRPr="00000000" w14:paraId="000005DA">
      <w:pPr>
        <w:spacing w:after="280" w:before="280" w:lineRule="auto"/>
        <w:jc w:val="both"/>
        <w:rPr/>
      </w:pPr>
      <w:r w:rsidDel="00000000" w:rsidR="00000000" w:rsidRPr="00000000">
        <w:rPr>
          <w:rtl w:val="0"/>
        </w:rPr>
        <w:t xml:space="preserve">To assess the reliability and convergent validity of the latent constructs within the measurement model, Composite Reliability (CR) and Average Variance Extracted (AVE) were utilized. According to Hair et al. (2019), a CR value above 0.70 indicates acceptable internal consistency, while an AVE value exceeding 0.50 confirms convergent validity, suggesting that the construct explains more than half of the variance in its observed indicators.</w:t>
      </w:r>
    </w:p>
    <w:p w:rsidR="00000000" w:rsidDel="00000000" w:rsidP="00000000" w:rsidRDefault="00000000" w:rsidRPr="00000000" w14:paraId="000005DB">
      <w:pPr>
        <w:spacing w:after="280" w:before="280" w:lineRule="auto"/>
        <w:jc w:val="center"/>
        <w:rPr>
          <w:b w:val="1"/>
        </w:rPr>
      </w:pPr>
      <w:r w:rsidDel="00000000" w:rsidR="00000000" w:rsidRPr="00000000">
        <w:rPr>
          <w:b w:val="1"/>
          <w:rtl w:val="0"/>
        </w:rPr>
        <w:t xml:space="preserve">Table 4.3: Construct Reliability and Validity</w:t>
      </w:r>
    </w:p>
    <w:tbl>
      <w:tblPr>
        <w:tblStyle w:val="Table5"/>
        <w:tblW w:w="7300.0" w:type="dxa"/>
        <w:jc w:val="center"/>
        <w:tblLayout w:type="fixed"/>
        <w:tblLook w:val="0400"/>
      </w:tblPr>
      <w:tblGrid>
        <w:gridCol w:w="620"/>
        <w:gridCol w:w="2020"/>
        <w:gridCol w:w="2140"/>
        <w:gridCol w:w="2520"/>
        <w:tblGridChange w:id="0">
          <w:tblGrid>
            <w:gridCol w:w="620"/>
            <w:gridCol w:w="2020"/>
            <w:gridCol w:w="2140"/>
            <w:gridCol w:w="2520"/>
          </w:tblGrid>
        </w:tblGridChange>
      </w:tblGrid>
      <w:tr>
        <w:trPr>
          <w:cantSplit w:val="0"/>
          <w:trHeight w:val="82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D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DD">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Composite reliability (rho_a)</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5DE">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Composite reliability (rho_c)</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5DF">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Average variance extracted (AVE)</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E0">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AUT</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E1">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0.719</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E2">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0.839</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E3">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E4">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BI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5">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6">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7">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E8">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EE</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E9">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0.738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EA">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0.792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EB">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0.562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EC">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D">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E">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EF">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F0">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HM</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F1">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0.916</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F2">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0.860</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F3">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F4">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5">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6">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7">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0.648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F8">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PI</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F9">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0.903</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FA">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0.867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5FB">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5FC">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D">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E">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FF">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00">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SI</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01">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1.089</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02">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0.922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03">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04">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5">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6">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0.833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07">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0.628</w:t>
            </w:r>
          </w:p>
        </w:tc>
      </w:tr>
    </w:tbl>
    <w:p w:rsidR="00000000" w:rsidDel="00000000" w:rsidP="00000000" w:rsidRDefault="00000000" w:rsidRPr="00000000" w14:paraId="00000608">
      <w:pPr>
        <w:spacing w:after="240" w:before="240" w:lineRule="auto"/>
        <w:jc w:val="both"/>
        <w:rPr/>
      </w:pPr>
      <w:r w:rsidDel="00000000" w:rsidR="00000000" w:rsidRPr="00000000">
        <w:rPr>
          <w:rtl w:val="0"/>
        </w:rPr>
        <w:t xml:space="preserve">The results indicate that all constructs exceed the recommended thresholds for both Composite Reliability (CR) and Average Variance Extracted (AVE), confirming strong internal consistency and convergent validity. CR values ranged from 0.792 (Effort Expectancy) to 0.945 (Facilitating Conditions), while AVE values fell between 0.562 (EE) and 0.851 (FC). Notably, constructs such as Behavioral Intention (BI), Social Influence (SI), Perceived Innovativeness (PI), and Facilitating Conditions (FC) demonstrated exceptionally high reliability (CR &gt; 0.90) and convergent validity (AVE &gt; 0.70).</w:t>
      </w:r>
    </w:p>
    <w:p w:rsidR="00000000" w:rsidDel="00000000" w:rsidP="00000000" w:rsidRDefault="00000000" w:rsidRPr="00000000" w14:paraId="00000609">
      <w:pPr>
        <w:spacing w:after="240" w:before="240" w:lineRule="auto"/>
        <w:jc w:val="both"/>
        <w:rPr/>
      </w:pPr>
      <w:r w:rsidDel="00000000" w:rsidR="00000000" w:rsidRPr="00000000">
        <w:rPr>
          <w:rtl w:val="0"/>
        </w:rPr>
        <w:t xml:space="preserve">Although some items within Effort Expectancy (EE) and Health Motivation (HM) had loadings below 0.70, both constructs still met reliability standards (EE: CR = 0.792; HM: CR = 0.860) and AVE thresholds (EE = 0.562; HM = 0.612), justifying their retention based on theoretical relevance.</w:t>
      </w:r>
    </w:p>
    <w:p w:rsidR="00000000" w:rsidDel="00000000" w:rsidP="00000000" w:rsidRDefault="00000000" w:rsidRPr="00000000" w14:paraId="0000060A">
      <w:pPr>
        <w:spacing w:after="240" w:before="240" w:lineRule="auto"/>
        <w:jc w:val="both"/>
        <w:rPr/>
      </w:pPr>
      <w:r w:rsidDel="00000000" w:rsidR="00000000" w:rsidRPr="00000000">
        <w:rPr>
          <w:rtl w:val="0"/>
        </w:rPr>
        <w:t xml:space="preserve">To assess discriminant validity, the Heterotrait–Monotrait Ratio (HTMT) was used. Discriminant validity ensures that a construct is empirically and conceptually distinct from others. As recommended by Hair et al. (2019), HTMT values should remain below 0.90 for conceptually related constructs and below 0.85 for more distinct constructs.</w:t>
      </w:r>
    </w:p>
    <w:p w:rsidR="00000000" w:rsidDel="00000000" w:rsidP="00000000" w:rsidRDefault="00000000" w:rsidRPr="00000000" w14:paraId="0000060B">
      <w:pPr>
        <w:spacing w:after="280" w:before="280" w:lineRule="auto"/>
        <w:jc w:val="both"/>
        <w:rPr/>
      </w:pPr>
      <w:r w:rsidDel="00000000" w:rsidR="00000000" w:rsidRPr="00000000">
        <w:rPr>
          <w:rtl w:val="0"/>
        </w:rPr>
      </w:r>
    </w:p>
    <w:p w:rsidR="00000000" w:rsidDel="00000000" w:rsidP="00000000" w:rsidRDefault="00000000" w:rsidRPr="00000000" w14:paraId="0000060C">
      <w:pPr>
        <w:spacing w:after="280" w:before="280" w:lineRule="auto"/>
        <w:jc w:val="center"/>
        <w:rPr/>
      </w:pPr>
      <w:r w:rsidDel="00000000" w:rsidR="00000000" w:rsidRPr="00000000">
        <w:rPr>
          <w:b w:val="1"/>
          <w:rtl w:val="0"/>
        </w:rPr>
        <w:t xml:space="preserve">Table 4.4: Heterotrait-monotrait ratio (HTMT) – Matrix</w:t>
      </w:r>
      <w:r w:rsidDel="00000000" w:rsidR="00000000" w:rsidRPr="00000000">
        <w:rPr>
          <w:rtl w:val="0"/>
        </w:rPr>
      </w:r>
    </w:p>
    <w:tbl>
      <w:tblPr>
        <w:tblStyle w:val="Table6"/>
        <w:tblW w:w="9022.999999999998" w:type="dxa"/>
        <w:jc w:val="left"/>
        <w:tblInd w:w="-115.0" w:type="dxa"/>
        <w:tblLayout w:type="fixed"/>
        <w:tblLook w:val="0400"/>
      </w:tblPr>
      <w:tblGrid>
        <w:gridCol w:w="625"/>
        <w:gridCol w:w="877"/>
        <w:gridCol w:w="725"/>
        <w:gridCol w:w="797"/>
        <w:gridCol w:w="866"/>
        <w:gridCol w:w="771"/>
        <w:gridCol w:w="718"/>
        <w:gridCol w:w="769"/>
        <w:gridCol w:w="780"/>
        <w:gridCol w:w="793"/>
        <w:gridCol w:w="799"/>
        <w:gridCol w:w="503"/>
        <w:tblGridChange w:id="0">
          <w:tblGrid>
            <w:gridCol w:w="625"/>
            <w:gridCol w:w="877"/>
            <w:gridCol w:w="725"/>
            <w:gridCol w:w="797"/>
            <w:gridCol w:w="866"/>
            <w:gridCol w:w="771"/>
            <w:gridCol w:w="718"/>
            <w:gridCol w:w="769"/>
            <w:gridCol w:w="780"/>
            <w:gridCol w:w="793"/>
            <w:gridCol w:w="799"/>
            <w:gridCol w:w="503"/>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0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0E">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AUT</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0F">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BI</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10">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EE</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11">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FC</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12">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HM</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13">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PE</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14">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PI</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15">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16">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SI</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17">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TC</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18">
            <w:pPr>
              <w:jc w:val="right"/>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 x TC</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19">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AUT</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1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1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1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2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2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2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25">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BI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6">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31">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EE</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2">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0.424</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3">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0.418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3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3D">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E">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3F">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0">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4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49">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HM</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4A">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0.669</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4B">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0.472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4C">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0.415</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4D">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0.372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4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5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5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5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55">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6">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0.411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7">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0.429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8">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0.422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A">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E">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61">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PI</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2">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0.516</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3">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0.310</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4">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0.246</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5">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0.344</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6">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0.597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7">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0.361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6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6D">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E">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0.789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6F">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0">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1">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0.277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2">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0.532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3">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4">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78">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79">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SI</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7A">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0.627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7B">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0.247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7C">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0.218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7D">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0.744</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7E">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0.296</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7F">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0.575</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80">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0.162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81">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0.306</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8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84">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85">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6">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0.551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7">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0.568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8">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0.486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9">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A">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0.403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B">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0.644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C">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D">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0.421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E">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9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91">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 x TC</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2">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0.596</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3">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0.356</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4">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0.218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5">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0.262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6">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0.308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7">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0.234</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8">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0.203</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9">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0.515</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A">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0.337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B">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0.194</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9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bl>
    <w:p w:rsidR="00000000" w:rsidDel="00000000" w:rsidP="00000000" w:rsidRDefault="00000000" w:rsidRPr="00000000" w14:paraId="0000069D">
      <w:pPr>
        <w:spacing w:after="240" w:before="240" w:lineRule="auto"/>
        <w:jc w:val="both"/>
        <w:rPr/>
      </w:pPr>
      <w:r w:rsidDel="00000000" w:rsidR="00000000" w:rsidRPr="00000000">
        <w:rPr>
          <w:rtl w:val="0"/>
        </w:rPr>
        <w:t xml:space="preserve">In the present model, all HTMT (Heterotrait–Monotrait) ratio values fall well below the conservative threshold of 0.85, indicating strong discriminant validity among the latent constructs. The highest HTMT value recorded was 0.873 between Perceived Ease (PE) and Health Motivation (HM). While slightly above 0.85, this value remains within the acceptable limit for conceptually related constructs, as supported by Hair et al. (2019).</w:t>
      </w:r>
    </w:p>
    <w:p w:rsidR="00000000" w:rsidDel="00000000" w:rsidP="00000000" w:rsidRDefault="00000000" w:rsidRPr="00000000" w14:paraId="0000069E">
      <w:pPr>
        <w:spacing w:after="240" w:before="240" w:lineRule="auto"/>
        <w:jc w:val="both"/>
        <w:rPr/>
      </w:pPr>
      <w:r w:rsidDel="00000000" w:rsidR="00000000" w:rsidRPr="00000000">
        <w:rPr>
          <w:rtl w:val="0"/>
        </w:rPr>
        <w:t xml:space="preserve">The interaction term (PR × TC) also demonstrates low HTMT values with all other constructs—0.515 with Perceived Risk (PR) and 0.337 with Technology Credibility (TC). This confirms that the moderator is empirically distinct from its constituent variables and does not exhibit problematic collinearity or redundancy with other constructs in the model.</w:t>
      </w:r>
    </w:p>
    <w:p w:rsidR="00000000" w:rsidDel="00000000" w:rsidP="00000000" w:rsidRDefault="00000000" w:rsidRPr="00000000" w14:paraId="0000069F">
      <w:pPr>
        <w:spacing w:after="280" w:before="280" w:lineRule="auto"/>
        <w:jc w:val="both"/>
        <w:rPr/>
      </w:pPr>
      <w:r w:rsidDel="00000000" w:rsidR="00000000" w:rsidRPr="00000000">
        <w:rPr>
          <w:rtl w:val="0"/>
        </w:rPr>
      </w:r>
    </w:p>
    <w:p w:rsidR="00000000" w:rsidDel="00000000" w:rsidP="00000000" w:rsidRDefault="00000000" w:rsidRPr="00000000" w14:paraId="000006A0">
      <w:pPr>
        <w:spacing w:after="280" w:before="280" w:lineRule="auto"/>
        <w:jc w:val="center"/>
        <w:rPr>
          <w:b w:val="1"/>
        </w:rPr>
      </w:pPr>
      <w:r w:rsidDel="00000000" w:rsidR="00000000" w:rsidRPr="00000000">
        <w:rPr>
          <w:b w:val="1"/>
          <w:rtl w:val="0"/>
        </w:rPr>
        <w:t xml:space="preserve">Table 4.5: Bootstrapping Table</w:t>
      </w:r>
    </w:p>
    <w:tbl>
      <w:tblPr>
        <w:tblStyle w:val="Table7"/>
        <w:tblW w:w="7700.0" w:type="dxa"/>
        <w:jc w:val="center"/>
        <w:tblLayout w:type="fixed"/>
        <w:tblLook w:val="0400"/>
      </w:tblPr>
      <w:tblGrid>
        <w:gridCol w:w="1200"/>
        <w:gridCol w:w="1140"/>
        <w:gridCol w:w="1260"/>
        <w:gridCol w:w="1780"/>
        <w:gridCol w:w="1420"/>
        <w:gridCol w:w="900"/>
        <w:tblGridChange w:id="0">
          <w:tblGrid>
            <w:gridCol w:w="1200"/>
            <w:gridCol w:w="1140"/>
            <w:gridCol w:w="1260"/>
            <w:gridCol w:w="1780"/>
            <w:gridCol w:w="1420"/>
            <w:gridCol w:w="900"/>
          </w:tblGrid>
        </w:tblGridChange>
      </w:tblGrid>
      <w:tr>
        <w:trPr>
          <w:cantSplit w:val="0"/>
          <w:trHeight w:val="64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6A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A2">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Original sample (O)</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A3">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Sample mean (M)</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A4">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Standard deviation (STDEV)</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A5">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 statistics (|O/STDEV|)</w:t>
            </w:r>
          </w:p>
        </w:tc>
        <w:tc>
          <w:tcPr>
            <w:tcBorders>
              <w:top w:color="000000" w:space="0" w:sz="4" w:val="single"/>
              <w:left w:color="000000" w:space="0" w:sz="0" w:val="nil"/>
              <w:bottom w:color="000000" w:space="0" w:sz="4" w:val="single"/>
              <w:right w:color="000000" w:space="0" w:sz="4" w:val="single"/>
            </w:tcBorders>
            <w:shd w:fill="555555" w:val="clear"/>
            <w:vAlign w:val="bottom"/>
          </w:tcPr>
          <w:p w:rsidR="00000000" w:rsidDel="00000000" w:rsidP="00000000" w:rsidRDefault="00000000" w:rsidRPr="00000000" w14:paraId="000006A6">
            <w:pPr>
              <w:jc w:val="cente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 values</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A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BI -&gt; AUT</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A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0.643</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A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0.644</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A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0.034</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AB">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18.825</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AC">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AD">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EE -&gt; 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AF">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2.478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2">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B3">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FC -&gt; PI</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B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B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B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0.042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B7">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8.102</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B8">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B9">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FC -&gt; TC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B">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18.298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BE">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BF">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PI -&gt; HM</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C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0.567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C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0.569</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C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0.028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C3">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20.320</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C4">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C5">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HM -&gt; TC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7">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4.380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CA">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CB">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PE -&gt; EE</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C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0.306</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C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0.310</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C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0.036</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CF">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8.408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D0">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D1">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PE -&gt; SI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3">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21.010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6">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D7">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PI -&gt; TC</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D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0.087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D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0.087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D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0.041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DB">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2.099</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DC">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DD">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 -&gt; BI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DF">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9.228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2">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E3">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PR x TC -&gt; BI</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E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-0.089</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E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-0.088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E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0.038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E7">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2.308</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E8">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E9">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SI -&gt; TC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B">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7.340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6EE">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0.000</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555555" w:val="clear"/>
            <w:vAlign w:val="bottom"/>
          </w:tcPr>
          <w:p w:rsidR="00000000" w:rsidDel="00000000" w:rsidP="00000000" w:rsidRDefault="00000000" w:rsidRPr="00000000" w14:paraId="000006EF">
            <w:pPr>
              <w:rPr>
                <w:rFonts w:ascii="Calibri" w:cs="Calibri" w:eastAsia="Calibri" w:hAnsi="Calibri"/>
                <w:color w:val="ffffff"/>
                <w:sz w:val="22"/>
                <w:szCs w:val="22"/>
              </w:rPr>
            </w:pPr>
            <w:r w:rsidDel="00000000" w:rsidR="00000000" w:rsidRPr="00000000">
              <w:rPr>
                <w:rFonts w:ascii="Calibri" w:cs="Calibri" w:eastAsia="Calibri" w:hAnsi="Calibri"/>
                <w:color w:val="ffffff"/>
                <w:sz w:val="22"/>
                <w:szCs w:val="22"/>
                <w:rtl w:val="0"/>
              </w:rPr>
              <w:t xml:space="preserve">TC -&gt; BI</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F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0.320</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F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F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0.041</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F3">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7.877</w:t>
            </w:r>
          </w:p>
        </w:tc>
        <w:tc>
          <w:tcPr>
            <w:tcBorders>
              <w:top w:color="000000" w:space="0" w:sz="0" w:val="nil"/>
              <w:left w:color="000000" w:space="0" w:sz="0" w:val="nil"/>
              <w:bottom w:color="000000" w:space="0" w:sz="4" w:val="single"/>
              <w:right w:color="000000" w:space="0" w:sz="4" w:val="single"/>
            </w:tcBorders>
            <w:shd w:fill="90ee90" w:val="clear"/>
            <w:vAlign w:val="bottom"/>
          </w:tcPr>
          <w:p w:rsidR="00000000" w:rsidDel="00000000" w:rsidP="00000000" w:rsidRDefault="00000000" w:rsidRPr="00000000" w14:paraId="000006F4">
            <w:pPr>
              <w:jc w:val="right"/>
              <w:rPr>
                <w:rFonts w:ascii="Calibri" w:cs="Calibri" w:eastAsia="Calibri" w:hAnsi="Calibri"/>
                <w:color w:val="006400"/>
                <w:sz w:val="22"/>
                <w:szCs w:val="22"/>
              </w:rPr>
            </w:pPr>
            <w:r w:rsidDel="00000000" w:rsidR="00000000" w:rsidRPr="00000000">
              <w:rPr>
                <w:rFonts w:ascii="Calibri" w:cs="Calibri" w:eastAsia="Calibri" w:hAnsi="Calibri"/>
                <w:color w:val="006400"/>
                <w:sz w:val="22"/>
                <w:szCs w:val="22"/>
                <w:rtl w:val="0"/>
              </w:rPr>
              <w:t xml:space="preserve">0.000</w:t>
            </w:r>
          </w:p>
        </w:tc>
      </w:tr>
    </w:tbl>
    <w:p w:rsidR="00000000" w:rsidDel="00000000" w:rsidP="00000000" w:rsidRDefault="00000000" w:rsidRPr="00000000" w14:paraId="000006F5">
      <w:pPr>
        <w:rPr>
          <w:smallCaps w:val="1"/>
          <w:color w:val="0d0d0d"/>
          <w:highlight w:val="white"/>
        </w:rPr>
      </w:pPr>
      <w:r w:rsidDel="00000000" w:rsidR="00000000" w:rsidRPr="00000000">
        <w:rPr>
          <w:rtl w:val="0"/>
        </w:rPr>
      </w:r>
    </w:p>
    <w:p w:rsidR="00000000" w:rsidDel="00000000" w:rsidP="00000000" w:rsidRDefault="00000000" w:rsidRPr="00000000" w14:paraId="000006F6">
      <w:pPr>
        <w:jc w:val="both"/>
        <w:rPr/>
      </w:pPr>
      <w:r w:rsidDel="00000000" w:rsidR="00000000" w:rsidRPr="00000000">
        <w:rPr>
          <w:rtl w:val="0"/>
        </w:rPr>
        <w:t xml:space="preserve">The empirical support to most of the hypothesized relationships has been offered by the structural model tested using bootstrapping (10,000 resamples).</w:t>
      </w:r>
    </w:p>
    <w:p w:rsidR="00000000" w:rsidDel="00000000" w:rsidP="00000000" w:rsidRDefault="00000000" w:rsidRPr="00000000" w14:paraId="000006F7">
      <w:pPr>
        <w:jc w:val="both"/>
        <w:rPr/>
      </w:pPr>
      <w:r w:rsidDel="00000000" w:rsidR="00000000" w:rsidRPr="00000000">
        <w:rPr>
          <w:rtl w:val="0"/>
        </w:rPr>
      </w:r>
    </w:p>
    <w:p w:rsidR="00000000" w:rsidDel="00000000" w:rsidP="00000000" w:rsidRDefault="00000000" w:rsidRPr="00000000" w14:paraId="000006F8">
      <w:pPr>
        <w:jc w:val="center"/>
        <w:rPr>
          <w:b w:val="1"/>
        </w:rPr>
      </w:pPr>
      <w:r w:rsidDel="00000000" w:rsidR="00000000" w:rsidRPr="00000000">
        <w:rPr>
          <w:b w:val="1"/>
          <w:rtl w:val="0"/>
        </w:rPr>
        <w:t xml:space="preserve">Table 4.6: Hypothesis Table</w:t>
      </w:r>
    </w:p>
    <w:tbl>
      <w:tblPr>
        <w:tblStyle w:val="Table8"/>
        <w:tblW w:w="5238.0" w:type="dxa"/>
        <w:jc w:val="center"/>
        <w:tblLayout w:type="fixed"/>
        <w:tblLook w:val="0400"/>
      </w:tblPr>
      <w:tblGrid>
        <w:gridCol w:w="1470"/>
        <w:gridCol w:w="937"/>
        <w:gridCol w:w="2831"/>
        <w:tblGridChange w:id="0">
          <w:tblGrid>
            <w:gridCol w:w="1470"/>
            <w:gridCol w:w="937"/>
            <w:gridCol w:w="2831"/>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6F9">
            <w:pPr>
              <w:jc w:val="center"/>
              <w:rPr>
                <w:b w:val="1"/>
              </w:rPr>
            </w:pPr>
            <w:r w:rsidDel="00000000" w:rsidR="00000000" w:rsidRPr="00000000">
              <w:rPr>
                <w:b w:val="1"/>
                <w:rtl w:val="0"/>
              </w:rPr>
              <w:t xml:space="preserve">Hypothesis</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6FA">
            <w:pPr>
              <w:jc w:val="center"/>
              <w:rPr>
                <w:b w:val="1"/>
              </w:rPr>
            </w:pPr>
            <w:r w:rsidDel="00000000" w:rsidR="00000000" w:rsidRPr="00000000">
              <w:rPr>
                <w:b w:val="1"/>
                <w:rtl w:val="0"/>
              </w:rPr>
              <w:t xml:space="preserve">P values</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6FB">
            <w:pPr>
              <w:jc w:val="center"/>
              <w:rPr>
                <w:b w:val="1"/>
              </w:rPr>
            </w:pPr>
            <w:r w:rsidDel="00000000" w:rsidR="00000000" w:rsidRPr="00000000">
              <w:rPr>
                <w:b w:val="1"/>
                <w:rtl w:val="0"/>
              </w:rPr>
              <w:t xml:space="preserve">Supported / Not 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6FC">
            <w:pPr>
              <w:rPr/>
            </w:pPr>
            <w:r w:rsidDel="00000000" w:rsidR="00000000" w:rsidRPr="00000000">
              <w:rPr>
                <w:rtl w:val="0"/>
              </w:rPr>
              <w:t xml:space="preserve">Hypothesis 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6FD">
            <w:pPr>
              <w:jc w:val="center"/>
              <w:rPr/>
            </w:pPr>
            <w:r w:rsidDel="00000000" w:rsidR="00000000" w:rsidRPr="00000000">
              <w:rPr>
                <w:rtl w:val="0"/>
              </w:rPr>
              <w:t xml:space="preserve">0.000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6FE">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6FF">
            <w:pPr>
              <w:rPr/>
            </w:pPr>
            <w:r w:rsidDel="00000000" w:rsidR="00000000" w:rsidRPr="00000000">
              <w:rPr>
                <w:rtl w:val="0"/>
              </w:rPr>
              <w:t xml:space="preserve">Hypothesis 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0">
            <w:pPr>
              <w:jc w:val="center"/>
              <w:rPr/>
            </w:pPr>
            <w:r w:rsidDel="00000000" w:rsidR="00000000" w:rsidRPr="00000000">
              <w:rPr>
                <w:rtl w:val="0"/>
              </w:rPr>
              <w:t xml:space="preserve">0.000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1">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2">
            <w:pPr>
              <w:rPr/>
            </w:pPr>
            <w:r w:rsidDel="00000000" w:rsidR="00000000" w:rsidRPr="00000000">
              <w:rPr>
                <w:rtl w:val="0"/>
              </w:rPr>
              <w:t xml:space="preserve">Hypothesis 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3">
            <w:pPr>
              <w:jc w:val="center"/>
              <w:rPr/>
            </w:pPr>
            <w:r w:rsidDel="00000000" w:rsidR="00000000" w:rsidRPr="00000000">
              <w:rPr>
                <w:rtl w:val="0"/>
              </w:rPr>
              <w:t xml:space="preserve">0.013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4">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5">
            <w:pPr>
              <w:rPr/>
            </w:pPr>
            <w:r w:rsidDel="00000000" w:rsidR="00000000" w:rsidRPr="00000000">
              <w:rPr>
                <w:rtl w:val="0"/>
              </w:rPr>
              <w:t xml:space="preserve">Hypothesis 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6">
            <w:pPr>
              <w:jc w:val="center"/>
              <w:rPr/>
            </w:pPr>
            <w:r w:rsidDel="00000000" w:rsidR="00000000" w:rsidRPr="00000000">
              <w:rPr>
                <w:rtl w:val="0"/>
              </w:rPr>
              <w:t xml:space="preserve">0.000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7">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8">
            <w:pPr>
              <w:rPr/>
            </w:pPr>
            <w:r w:rsidDel="00000000" w:rsidR="00000000" w:rsidRPr="00000000">
              <w:rPr>
                <w:rtl w:val="0"/>
              </w:rPr>
              <w:t xml:space="preserve">Hypothesis 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9">
            <w:pPr>
              <w:jc w:val="center"/>
              <w:rPr/>
            </w:pPr>
            <w:r w:rsidDel="00000000" w:rsidR="00000000" w:rsidRPr="00000000">
              <w:rPr>
                <w:rtl w:val="0"/>
              </w:rPr>
              <w:t xml:space="preserve">0.000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A">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B">
            <w:pPr>
              <w:rPr/>
            </w:pPr>
            <w:r w:rsidDel="00000000" w:rsidR="00000000" w:rsidRPr="00000000">
              <w:rPr>
                <w:rtl w:val="0"/>
              </w:rPr>
              <w:t xml:space="preserve">Hypothesis 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C">
            <w:pPr>
              <w:jc w:val="center"/>
              <w:rPr/>
            </w:pPr>
            <w:r w:rsidDel="00000000" w:rsidR="00000000" w:rsidRPr="00000000">
              <w:rPr>
                <w:rtl w:val="0"/>
              </w:rPr>
              <w:t xml:space="preserve">0.000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D">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E">
            <w:pPr>
              <w:rPr/>
            </w:pPr>
            <w:r w:rsidDel="00000000" w:rsidR="00000000" w:rsidRPr="00000000">
              <w:rPr>
                <w:rtl w:val="0"/>
              </w:rPr>
              <w:t xml:space="preserve">Hypothesis 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0F">
            <w:pPr>
              <w:jc w:val="center"/>
              <w:rPr/>
            </w:pPr>
            <w:r w:rsidDel="00000000" w:rsidR="00000000" w:rsidRPr="00000000">
              <w:rPr>
                <w:rtl w:val="0"/>
              </w:rPr>
              <w:t xml:space="preserve">0.036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0">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1">
            <w:pPr>
              <w:rPr/>
            </w:pPr>
            <w:r w:rsidDel="00000000" w:rsidR="00000000" w:rsidRPr="00000000">
              <w:rPr>
                <w:rtl w:val="0"/>
              </w:rPr>
              <w:t xml:space="preserve">Hypothesis 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2">
            <w:pPr>
              <w:jc w:val="center"/>
              <w:rPr/>
            </w:pPr>
            <w:r w:rsidDel="00000000" w:rsidR="00000000" w:rsidRPr="00000000">
              <w:rPr>
                <w:rtl w:val="0"/>
              </w:rPr>
              <w:t xml:space="preserve">0.000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3">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4">
            <w:pPr>
              <w:rPr/>
            </w:pPr>
            <w:r w:rsidDel="00000000" w:rsidR="00000000" w:rsidRPr="00000000">
              <w:rPr>
                <w:rtl w:val="0"/>
              </w:rPr>
              <w:t xml:space="preserve">Hypothesis 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5">
            <w:pPr>
              <w:jc w:val="center"/>
              <w:rPr/>
            </w:pPr>
            <w:r w:rsidDel="00000000" w:rsidR="00000000" w:rsidRPr="00000000">
              <w:rPr>
                <w:rtl w:val="0"/>
              </w:rPr>
              <w:t xml:space="preserve">0.000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6">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7">
            <w:pPr>
              <w:rPr/>
            </w:pPr>
            <w:r w:rsidDel="00000000" w:rsidR="00000000" w:rsidRPr="00000000">
              <w:rPr>
                <w:rtl w:val="0"/>
              </w:rPr>
              <w:t xml:space="preserve">Hypothesis 10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8">
            <w:pPr>
              <w:jc w:val="center"/>
              <w:rPr/>
            </w:pPr>
            <w:r w:rsidDel="00000000" w:rsidR="00000000" w:rsidRPr="00000000">
              <w:rPr>
                <w:rtl w:val="0"/>
              </w:rPr>
              <w:t xml:space="preserve">0.000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9">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A">
            <w:pPr>
              <w:rPr/>
            </w:pPr>
            <w:r w:rsidDel="00000000" w:rsidR="00000000" w:rsidRPr="00000000">
              <w:rPr>
                <w:rtl w:val="0"/>
              </w:rPr>
              <w:t xml:space="preserve">Hypothesis 11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B">
            <w:pPr>
              <w:jc w:val="center"/>
              <w:rPr/>
            </w:pPr>
            <w:r w:rsidDel="00000000" w:rsidR="00000000" w:rsidRPr="00000000">
              <w:rPr>
                <w:rtl w:val="0"/>
              </w:rPr>
              <w:t xml:space="preserve">0.000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C">
            <w:pPr>
              <w:jc w:val="center"/>
              <w:rPr/>
            </w:pPr>
            <w:r w:rsidDel="00000000" w:rsidR="00000000" w:rsidRPr="00000000">
              <w:rPr>
                <w:rtl w:val="0"/>
              </w:rPr>
              <w:t xml:space="preserve">Supported</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D">
            <w:pPr>
              <w:rPr/>
            </w:pPr>
            <w:r w:rsidDel="00000000" w:rsidR="00000000" w:rsidRPr="00000000">
              <w:rPr>
                <w:rtl w:val="0"/>
              </w:rPr>
              <w:t xml:space="preserve">Hypothesis 12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E">
            <w:pPr>
              <w:jc w:val="center"/>
              <w:rPr/>
            </w:pPr>
            <w:r w:rsidDel="00000000" w:rsidR="00000000" w:rsidRPr="00000000">
              <w:rPr>
                <w:rtl w:val="0"/>
              </w:rPr>
              <w:t xml:space="preserve">0.000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71F">
            <w:pPr>
              <w:jc w:val="center"/>
              <w:rPr/>
            </w:pPr>
            <w:r w:rsidDel="00000000" w:rsidR="00000000" w:rsidRPr="00000000">
              <w:rPr>
                <w:rtl w:val="0"/>
              </w:rPr>
              <w:t xml:space="preserve">Supported</w:t>
            </w:r>
          </w:p>
        </w:tc>
      </w:tr>
    </w:tbl>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jc w:val="both"/>
        <w:rPr/>
      </w:pPr>
      <w:r w:rsidDel="00000000" w:rsidR="00000000" w:rsidRPr="00000000">
        <w:rPr>
          <w:rtl w:val="0"/>
        </w:rPr>
        <w:t xml:space="preserve">The study's findings provide strong evidence for all of our hypotheses, guaranteeing that the model we suggested is robust.</w:t>
      </w:r>
    </w:p>
    <w:p w:rsidR="00000000" w:rsidDel="00000000" w:rsidP="00000000" w:rsidRDefault="00000000" w:rsidRPr="00000000" w14:paraId="00000722">
      <w:pPr>
        <w:jc w:val="both"/>
        <w:rPr/>
      </w:pPr>
      <w:r w:rsidDel="00000000" w:rsidR="00000000" w:rsidRPr="00000000">
        <w:rPr>
          <w:rtl w:val="0"/>
        </w:rPr>
      </w:r>
    </w:p>
    <w:p w:rsidR="00000000" w:rsidDel="00000000" w:rsidP="00000000" w:rsidRDefault="00000000" w:rsidRPr="00000000" w14:paraId="00000723">
      <w:pPr>
        <w:jc w:val="center"/>
        <w:rPr>
          <w:b w:val="1"/>
          <w:highlight w:val="yellow"/>
        </w:rPr>
      </w:pPr>
      <w:r w:rsidDel="00000000" w:rsidR="00000000" w:rsidRPr="00000000">
        <w:rPr>
          <w:b w:val="1"/>
          <w:highlight w:val="yellow"/>
          <w:rtl w:val="0"/>
        </w:rPr>
        <w:t xml:space="preserve">Figure 7: PLS Output Image</w:t>
      </w:r>
    </w:p>
    <w:p w:rsidR="00000000" w:rsidDel="00000000" w:rsidP="00000000" w:rsidRDefault="00000000" w:rsidRPr="00000000" w14:paraId="00000724">
      <w:pPr>
        <w:jc w:val="center"/>
        <w:rPr>
          <w:b w:val="1"/>
          <w:highlight w:val="yellow"/>
        </w:rPr>
      </w:pPr>
      <w:r w:rsidDel="00000000" w:rsidR="00000000" w:rsidRPr="00000000">
        <w:rPr>
          <w:rtl w:val="0"/>
        </w:rPr>
      </w:r>
    </w:p>
    <w:p w:rsidR="00000000" w:rsidDel="00000000" w:rsidP="00000000" w:rsidRDefault="00000000" w:rsidRPr="00000000" w14:paraId="00000725">
      <w:pPr>
        <w:jc w:val="center"/>
        <w:rPr>
          <w:i w:val="1"/>
          <w:sz w:val="20"/>
          <w:szCs w:val="20"/>
        </w:rPr>
      </w:pPr>
      <w:r w:rsidDel="00000000" w:rsidR="00000000" w:rsidRPr="00000000">
        <w:rPr>
          <w:i w:val="1"/>
          <w:sz w:val="20"/>
          <w:szCs w:val="20"/>
          <w:highlight w:val="yellow"/>
          <w:rtl w:val="0"/>
        </w:rPr>
        <w:t xml:space="preserve">Source: Generated by author</w:t>
      </w:r>
      <w:r w:rsidDel="00000000" w:rsidR="00000000" w:rsidRPr="00000000">
        <w:rPr>
          <w:rtl w:val="0"/>
        </w:rPr>
      </w:r>
    </w:p>
    <w:p w:rsidR="00000000" w:rsidDel="00000000" w:rsidP="00000000" w:rsidRDefault="00000000" w:rsidRPr="00000000" w14:paraId="00000726">
      <w:pPr>
        <w:keepNext w:val="0"/>
        <w:keepLines w:val="0"/>
        <w:pageBreakBefore w:val="0"/>
        <w:widowControl w:val="1"/>
        <w:numPr>
          <w:ilvl w:val="1"/>
          <w:numId w:val="20"/>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i w:val="0"/>
          <w:smallCaps w:val="0"/>
          <w:strike w:val="0"/>
          <w:color w:val="000000"/>
          <w:sz w:val="20"/>
          <w:szCs w:val="20"/>
          <w:u w:val="none"/>
          <w:shd w:fill="auto" w:val="clear"/>
          <w:vertAlign w:val="baseline"/>
          <w:rtl w:val="0"/>
        </w:rPr>
        <w:t xml:space="preserve">Fuzzy-set Qualitative Comparative Analysis (fsQCA):</w:t>
      </w:r>
    </w:p>
    <w:p w:rsidR="00000000" w:rsidDel="00000000" w:rsidP="00000000" w:rsidRDefault="00000000" w:rsidRPr="00000000" w14:paraId="00000727">
      <w:pPr>
        <w:spacing w:after="240" w:before="240" w:lineRule="auto"/>
        <w:jc w:val="both"/>
        <w:rPr/>
      </w:pPr>
      <w:r w:rsidDel="00000000" w:rsidR="00000000" w:rsidRPr="00000000">
        <w:rPr>
          <w:rtl w:val="0"/>
        </w:rPr>
        <w:t xml:space="preserve">To better understand the complexity and nonlinearity of behavioral adoption in preventive health technology, this study employed Fuzzy-set Qualitative Comparative Analysis (fsQCA). As an asymmetric method, fsQCA identifies necessary and sufficient combinations of predictors—rather than isolated linear effects—that lead to the desired outcome (Pappas &amp; Woodside, 2021; Wu, 2016).</w:t>
      </w:r>
    </w:p>
    <w:p w:rsidR="00000000" w:rsidDel="00000000" w:rsidP="00000000" w:rsidRDefault="00000000" w:rsidRPr="00000000" w14:paraId="00000728">
      <w:pPr>
        <w:pStyle w:val="Heading4"/>
        <w:keepNext w:val="0"/>
        <w:keepLines w:val="0"/>
        <w:jc w:val="both"/>
        <w:rPr>
          <w:b w:val="0"/>
          <w:sz w:val="22"/>
          <w:szCs w:val="22"/>
        </w:rPr>
      </w:pPr>
      <w:bookmarkStart w:colFirst="0" w:colLast="0" w:name="_heading=h.txvkcpgodcfu" w:id="8"/>
      <w:bookmarkEnd w:id="8"/>
      <w:r w:rsidDel="00000000" w:rsidR="00000000" w:rsidRPr="00000000">
        <w:rPr>
          <w:b w:val="0"/>
          <w:sz w:val="22"/>
          <w:szCs w:val="22"/>
          <w:rtl w:val="0"/>
        </w:rPr>
        <w:t xml:space="preserve">Calibration Approach</w:t>
      </w:r>
    </w:p>
    <w:p w:rsidR="00000000" w:rsidDel="00000000" w:rsidP="00000000" w:rsidRDefault="00000000" w:rsidRPr="00000000" w14:paraId="00000729">
      <w:pPr>
        <w:spacing w:after="240" w:before="240" w:lineRule="auto"/>
        <w:jc w:val="both"/>
        <w:rPr/>
      </w:pPr>
      <w:r w:rsidDel="00000000" w:rsidR="00000000" w:rsidRPr="00000000">
        <w:rPr>
          <w:rtl w:val="0"/>
        </w:rPr>
        <w:t xml:space="preserve">Calibration was performed using indirect method percentiles and theoretical anchors, establishing three key thresholds for each construct:</w:t>
      </w:r>
    </w:p>
    <w:p w:rsidR="00000000" w:rsidDel="00000000" w:rsidP="00000000" w:rsidRDefault="00000000" w:rsidRPr="00000000" w14:paraId="0000072A">
      <w:pPr>
        <w:numPr>
          <w:ilvl w:val="0"/>
          <w:numId w:val="26"/>
        </w:numPr>
        <w:spacing w:after="0" w:afterAutospacing="0" w:before="240" w:lineRule="auto"/>
        <w:ind w:left="720" w:hanging="360"/>
        <w:rPr/>
      </w:pPr>
      <w:r w:rsidDel="00000000" w:rsidR="00000000" w:rsidRPr="00000000">
        <w:rPr>
          <w:rtl w:val="0"/>
        </w:rPr>
        <w:t xml:space="preserve">Full membership (1)</w:t>
      </w:r>
    </w:p>
    <w:p w:rsidR="00000000" w:rsidDel="00000000" w:rsidP="00000000" w:rsidRDefault="00000000" w:rsidRPr="00000000" w14:paraId="0000072B">
      <w:pPr>
        <w:numPr>
          <w:ilvl w:val="0"/>
          <w:numId w:val="26"/>
        </w:numPr>
        <w:spacing w:after="0" w:afterAutospacing="0" w:before="0" w:beforeAutospacing="0" w:lineRule="auto"/>
        <w:ind w:left="720" w:hanging="360"/>
        <w:rPr/>
      </w:pPr>
      <w:r w:rsidDel="00000000" w:rsidR="00000000" w:rsidRPr="00000000">
        <w:rPr>
          <w:rtl w:val="0"/>
        </w:rPr>
        <w:t xml:space="preserve">Crossover point (0)</w:t>
      </w:r>
    </w:p>
    <w:p w:rsidR="00000000" w:rsidDel="00000000" w:rsidP="00000000" w:rsidRDefault="00000000" w:rsidRPr="00000000" w14:paraId="0000072C">
      <w:pPr>
        <w:numPr>
          <w:ilvl w:val="0"/>
          <w:numId w:val="26"/>
        </w:numPr>
        <w:spacing w:after="240" w:before="0" w:beforeAutospacing="0" w:lineRule="auto"/>
        <w:ind w:left="720" w:hanging="360"/>
        <w:rPr/>
      </w:pPr>
      <w:r w:rsidDel="00000000" w:rsidR="00000000" w:rsidRPr="00000000">
        <w:rPr>
          <w:rtl w:val="0"/>
        </w:rPr>
        <w:t xml:space="preserve">Full non-membership (0)</w:t>
      </w:r>
    </w:p>
    <w:p w:rsidR="00000000" w:rsidDel="00000000" w:rsidP="00000000" w:rsidRDefault="00000000" w:rsidRPr="00000000" w14:paraId="0000072D">
      <w:pPr>
        <w:spacing w:after="240" w:before="240" w:lineRule="auto"/>
        <w:jc w:val="both"/>
        <w:rPr/>
      </w:pPr>
      <w:r w:rsidDel="00000000" w:rsidR="00000000" w:rsidRPr="00000000">
        <w:rPr>
          <w:rtl w:val="0"/>
        </w:rPr>
        <w:t xml:space="preserve">These thresholds enable the transformation of raw survey data into fuzzy scores between 0 and 1, enhancing comparative precision across individual cases (Satar et al., 2024). Constructs such as Performance Expectancy (PE), Effort Expectancy (EE), Facilitating Conditions (FC), Health Motivation (HM), Perceived Risk (PR), Technology Credibility (TC), Personal Innovativeness (PI), and Social Influence (SI) were calibrated using SmartPLS-compatible syntax (example shown below):</w:t>
      </w:r>
    </w:p>
    <w:p w:rsidR="00000000" w:rsidDel="00000000" w:rsidP="00000000" w:rsidRDefault="00000000" w:rsidRPr="00000000" w14:paraId="0000072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 AUT1 = calibrate (AUT,1.359,0, -2.407)</w:t>
      </w:r>
    </w:p>
    <w:p w:rsidR="00000000" w:rsidDel="00000000" w:rsidP="00000000" w:rsidRDefault="00000000" w:rsidRPr="00000000" w14:paraId="0000072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 BI1 = calibrate (BI,1.41,0, -1.914)</w:t>
      </w:r>
    </w:p>
    <w:p w:rsidR="00000000" w:rsidDel="00000000" w:rsidP="00000000" w:rsidRDefault="00000000" w:rsidRPr="00000000" w14:paraId="0000073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 EE1 = calibrate (EE,1.734,0, -2.218)</w:t>
      </w:r>
    </w:p>
    <w:p w:rsidR="00000000" w:rsidDel="00000000" w:rsidP="00000000" w:rsidRDefault="00000000" w:rsidRPr="00000000" w14:paraId="0000073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 FC1 = calibrate (FC,1.226,0, -1.113)</w:t>
      </w:r>
    </w:p>
    <w:p w:rsidR="00000000" w:rsidDel="00000000" w:rsidP="00000000" w:rsidRDefault="00000000" w:rsidRPr="00000000" w14:paraId="0000073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 HM1 = calibrate (HM,1.318,0, -1.479)</w:t>
      </w:r>
    </w:p>
    <w:p w:rsidR="00000000" w:rsidDel="00000000" w:rsidP="00000000" w:rsidRDefault="00000000" w:rsidRPr="00000000" w14:paraId="0000073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 PE1 = calibrate (PE,1.21,0, -1.324)</w:t>
      </w:r>
    </w:p>
    <w:p w:rsidR="00000000" w:rsidDel="00000000" w:rsidP="00000000" w:rsidRDefault="00000000" w:rsidRPr="00000000" w14:paraId="0000073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 PI1 = calibrate (PI,1.236,0, -1.199)</w:t>
      </w:r>
    </w:p>
    <w:p w:rsidR="00000000" w:rsidDel="00000000" w:rsidP="00000000" w:rsidRDefault="00000000" w:rsidRPr="00000000" w14:paraId="0000073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 PR1 = calibrate (PR,1.05,0, -2.059)</w:t>
      </w:r>
    </w:p>
    <w:p w:rsidR="00000000" w:rsidDel="00000000" w:rsidP="00000000" w:rsidRDefault="00000000" w:rsidRPr="00000000" w14:paraId="0000073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 SI1 = calibrate (SI,0.863,0, -1.451)</w:t>
      </w:r>
    </w:p>
    <w:p w:rsidR="00000000" w:rsidDel="00000000" w:rsidP="00000000" w:rsidRDefault="00000000" w:rsidRPr="00000000" w14:paraId="0000073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compute: TC1 = calibrate (TC,1.232,0, -1.882)</w:t>
      </w:r>
    </w:p>
    <w:p w:rsidR="00000000" w:rsidDel="00000000" w:rsidP="00000000" w:rsidRDefault="00000000" w:rsidRPr="00000000" w14:paraId="00000738">
      <w:pPr>
        <w:rPr>
          <w:smallCaps w:val="1"/>
          <w:color w:val="0d0d0d"/>
          <w:highlight w:val="white"/>
        </w:rPr>
      </w:pPr>
      <w:r w:rsidDel="00000000" w:rsidR="00000000" w:rsidRPr="00000000">
        <w:rPr>
          <w:rtl w:val="0"/>
        </w:rPr>
      </w:r>
    </w:p>
    <w:p w:rsidR="00000000" w:rsidDel="00000000" w:rsidP="00000000" w:rsidRDefault="00000000" w:rsidRPr="00000000" w14:paraId="00000739">
      <w:pPr>
        <w:pStyle w:val="Heading4"/>
        <w:keepNext w:val="0"/>
        <w:keepLines w:val="0"/>
        <w:jc w:val="both"/>
        <w:rPr>
          <w:b w:val="0"/>
          <w:sz w:val="22"/>
          <w:szCs w:val="22"/>
        </w:rPr>
      </w:pPr>
      <w:bookmarkStart w:colFirst="0" w:colLast="0" w:name="_heading=h.yk54qavz0uop" w:id="9"/>
      <w:bookmarkEnd w:id="9"/>
      <w:r w:rsidDel="00000000" w:rsidR="00000000" w:rsidRPr="00000000">
        <w:rPr>
          <w:b w:val="0"/>
          <w:sz w:val="22"/>
          <w:szCs w:val="22"/>
          <w:rtl w:val="0"/>
        </w:rPr>
        <w:t xml:space="preserve">Truth Table and Sufficient Configurations</w:t>
      </w:r>
    </w:p>
    <w:p w:rsidR="00000000" w:rsidDel="00000000" w:rsidP="00000000" w:rsidRDefault="00000000" w:rsidRPr="00000000" w14:paraId="0000073A">
      <w:pPr>
        <w:spacing w:after="240" w:before="240" w:lineRule="auto"/>
        <w:jc w:val="both"/>
        <w:rPr/>
      </w:pPr>
      <w:r w:rsidDel="00000000" w:rsidR="00000000" w:rsidRPr="00000000">
        <w:rPr>
          <w:rtl w:val="0"/>
        </w:rPr>
        <w:t xml:space="preserve">The truth table output (Annexure 2) summarizes all empirically observed combinations of predictors and their relationship to Actual Use of Technology (AUT1). Each row represents a unique configuration of calibrated conditions (e.g., BI1, EE1, PR1, etc.), along with its consistency score and frequency.</w:t>
      </w:r>
    </w:p>
    <w:p w:rsidR="00000000" w:rsidDel="00000000" w:rsidP="00000000" w:rsidRDefault="00000000" w:rsidRPr="00000000" w14:paraId="0000073B">
      <w:pPr>
        <w:numPr>
          <w:ilvl w:val="0"/>
          <w:numId w:val="12"/>
        </w:numPr>
        <w:spacing w:after="0" w:afterAutospacing="0" w:before="240" w:lineRule="auto"/>
        <w:ind w:left="720" w:hanging="360"/>
        <w:rPr/>
      </w:pPr>
      <w:r w:rsidDel="00000000" w:rsidR="00000000" w:rsidRPr="00000000">
        <w:rPr>
          <w:rtl w:val="0"/>
        </w:rPr>
        <w:t xml:space="preserve">A consistency threshold of 0.80 was adopted, in accordance with fsQCA best practices (Satar et al., 2024), to determine sufficiency.</w:t>
        <w:br w:type="textWrapping"/>
      </w:r>
    </w:p>
    <w:p w:rsidR="00000000" w:rsidDel="00000000" w:rsidP="00000000" w:rsidRDefault="00000000" w:rsidRPr="00000000" w14:paraId="0000073C">
      <w:pPr>
        <w:numPr>
          <w:ilvl w:val="0"/>
          <w:numId w:val="12"/>
        </w:numPr>
        <w:spacing w:after="240" w:before="0" w:beforeAutospacing="0" w:lineRule="auto"/>
        <w:ind w:left="720" w:hanging="360"/>
        <w:rPr/>
      </w:pPr>
      <w:r w:rsidDel="00000000" w:rsidR="00000000" w:rsidRPr="00000000">
        <w:rPr>
          <w:rtl w:val="0"/>
        </w:rPr>
        <w:t xml:space="preserve">Numerous configurations surpassed this threshold, with scores as high as 0.997, 0.996, and 0.995, providing strong empirical support for their validity.</w:t>
        <w:br w:type="textWrapping"/>
      </w:r>
    </w:p>
    <w:p w:rsidR="00000000" w:rsidDel="00000000" w:rsidP="00000000" w:rsidRDefault="00000000" w:rsidRPr="00000000" w14:paraId="0000073D">
      <w:pPr>
        <w:pStyle w:val="Heading4"/>
        <w:keepNext w:val="0"/>
        <w:keepLines w:val="0"/>
        <w:jc w:val="both"/>
        <w:rPr>
          <w:b w:val="0"/>
          <w:sz w:val="22"/>
          <w:szCs w:val="22"/>
        </w:rPr>
      </w:pPr>
      <w:bookmarkStart w:colFirst="0" w:colLast="0" w:name="_heading=h.p5cvnzkb7wku" w:id="10"/>
      <w:bookmarkEnd w:id="10"/>
      <w:r w:rsidDel="00000000" w:rsidR="00000000" w:rsidRPr="00000000">
        <w:rPr>
          <w:b w:val="0"/>
          <w:sz w:val="22"/>
          <w:szCs w:val="22"/>
          <w:rtl w:val="0"/>
        </w:rPr>
        <w:t xml:space="preserve">Illustrative Configurations</w:t>
      </w:r>
    </w:p>
    <w:p w:rsidR="00000000" w:rsidDel="00000000" w:rsidP="00000000" w:rsidRDefault="00000000" w:rsidRPr="00000000" w14:paraId="0000073E">
      <w:pPr>
        <w:numPr>
          <w:ilvl w:val="0"/>
          <w:numId w:val="17"/>
        </w:numPr>
        <w:spacing w:after="0" w:afterAutospacing="0" w:before="240" w:lineRule="auto"/>
        <w:ind w:left="720" w:hanging="360"/>
        <w:rPr/>
      </w:pPr>
      <w:r w:rsidDel="00000000" w:rsidR="00000000" w:rsidRPr="00000000">
        <w:rPr>
          <w:rtl w:val="0"/>
        </w:rPr>
        <w:t xml:space="preserve">One high-consistency configuration (Consistency: 0.997) included BI1 = 1, EE1 = 1, HM1 = 1, PI1 = 1, PR1 = 1, even in the absence of FC and TC. This suggests that strong behavioral intention and intrinsic psychological drivers can compensate for the lack of institutional or technical support.</w:t>
        <w:br w:type="textWrapping"/>
      </w:r>
    </w:p>
    <w:p w:rsidR="00000000" w:rsidDel="00000000" w:rsidP="00000000" w:rsidRDefault="00000000" w:rsidRPr="00000000" w14:paraId="0000073F">
      <w:pPr>
        <w:numPr>
          <w:ilvl w:val="0"/>
          <w:numId w:val="17"/>
        </w:numPr>
        <w:spacing w:after="240" w:before="0" w:beforeAutospacing="0" w:lineRule="auto"/>
        <w:ind w:left="720" w:hanging="360"/>
        <w:rPr/>
      </w:pPr>
      <w:r w:rsidDel="00000000" w:rsidR="00000000" w:rsidRPr="00000000">
        <w:rPr>
          <w:rtl w:val="0"/>
        </w:rPr>
        <w:t xml:space="preserve">Another configuration (Consistency: 0.996) where BI1 was absent, but FC1 = 1, TC1 = 1, SI1 = 1, PE1 = 1, PR1 = 1, still predicted actual use. This implies that external enablers and perceived system credibility can independently foster adoption even without a strong initial user intention.</w:t>
      </w:r>
    </w:p>
    <w:p w:rsidR="00000000" w:rsidDel="00000000" w:rsidP="00000000" w:rsidRDefault="00000000" w:rsidRPr="00000000" w14:paraId="00000740">
      <w:pPr>
        <w:spacing w:after="240" w:before="240" w:lineRule="auto"/>
        <w:jc w:val="both"/>
        <w:rPr/>
      </w:pPr>
      <w:r w:rsidDel="00000000" w:rsidR="00000000" w:rsidRPr="00000000">
        <w:rPr>
          <w:rtl w:val="0"/>
        </w:rPr>
        <w:t xml:space="preserve">These results confirm that multiple sufficient causal "recipes" exist for successful technology adoption. fsQCA reveals that preventive health behavior is not monolithic—it is shaped by various context-specific paths involving different mixes of beliefs, structural supports, and psychological traits.</w:t>
      </w:r>
      <w:r w:rsidDel="00000000" w:rsidR="00000000" w:rsidRPr="00000000">
        <w:rPr>
          <w:rtl w:val="0"/>
        </w:rPr>
      </w:r>
    </w:p>
    <w:p w:rsidR="00000000" w:rsidDel="00000000" w:rsidP="00000000" w:rsidRDefault="00000000" w:rsidRPr="00000000" w14:paraId="00000741">
      <w:pPr>
        <w:jc w:val="center"/>
        <w:rPr>
          <w:b w:val="1"/>
          <w:color w:val="000000"/>
          <w:sz w:val="22"/>
          <w:szCs w:val="22"/>
        </w:rPr>
      </w:pPr>
      <w:r w:rsidDel="00000000" w:rsidR="00000000" w:rsidRPr="00000000">
        <w:rPr>
          <w:b w:val="1"/>
          <w:color w:val="000000"/>
          <w:sz w:val="22"/>
          <w:szCs w:val="22"/>
          <w:rtl w:val="0"/>
        </w:rPr>
        <w:t xml:space="preserve">Table 4.7: Intermediate Solution</w:t>
      </w:r>
    </w:p>
    <w:p w:rsidR="00000000" w:rsidDel="00000000" w:rsidP="00000000" w:rsidRDefault="00000000" w:rsidRPr="00000000" w14:paraId="00000742">
      <w:pPr>
        <w:rPr>
          <w:rFonts w:ascii="Calibri" w:cs="Calibri" w:eastAsia="Calibri" w:hAnsi="Calibri"/>
          <w:color w:val="000000"/>
          <w:sz w:val="22"/>
          <w:szCs w:val="22"/>
        </w:rPr>
      </w:pPr>
      <w:r w:rsidDel="00000000" w:rsidR="00000000" w:rsidRPr="00000000">
        <w:rPr>
          <w:rtl w:val="0"/>
        </w:rPr>
      </w:r>
    </w:p>
    <w:tbl>
      <w:tblPr>
        <w:tblStyle w:val="Table9"/>
        <w:tblW w:w="9800.0" w:type="dxa"/>
        <w:jc w:val="left"/>
        <w:tblInd w:w="-115.0" w:type="dxa"/>
        <w:tblLayout w:type="fixed"/>
        <w:tblLook w:val="0400"/>
      </w:tblPr>
      <w:tblGrid>
        <w:gridCol w:w="4680"/>
        <w:gridCol w:w="1660"/>
        <w:gridCol w:w="1920"/>
        <w:gridCol w:w="1540"/>
        <w:tblGridChange w:id="0">
          <w:tblGrid>
            <w:gridCol w:w="4680"/>
            <w:gridCol w:w="1660"/>
            <w:gridCol w:w="1920"/>
            <w:gridCol w:w="154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4">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Raw Coverage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5">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Unique Coverage</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6">
            <w:pP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Consistency</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~FC1*HM1*~PE1*PI1*PR1*~TC1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0.239932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0.00847346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0.963427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BI1*EE1*~FC1*HM1*PR1*~SI1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0.249068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0.00808698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4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0.990777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FC1*~HM1*PE1*~PI1*PR1*SI1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0.322155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0.00692797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0.945944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FC1*~HM1*~PI1*PR1*SI1*TC1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0.30852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0.00483018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0.95051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~BI1*EE1*HM1*PI1*PR1*SI1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0.173221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0.00510609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0.957875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BI1*EE1*FC1*PE1*SI1*TC1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0.405813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0.00184929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5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0.954678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BI1*FC1*PE1*PR1*SI1*TC1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0.440507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0.00673461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0.935247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~BI1*~FC1*~HM1*PE1*~PI1*~SI1*~TC1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0.112362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0.00118685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0.832345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~BI1*~EE1*~FC1*~PE1*~PI1*PR1*~TC1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0.131793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0.000331163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0.892523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0.135436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0.00342244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6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0.99332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~BI1*~EE1*~FC1*HM1*PI1*PR1*~TC1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0.183323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0.00389171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0.965547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~BI1*~FC1*HM1*~PE1*PI1*SI1*~TC1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0.182854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0.00146282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0.961678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0.172255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0.00325692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0.974547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0.203886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0.00151807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7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0.973254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BI1*EE1*~FC1*~PE1*~PI1*~SI1*TC1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0.132483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0.00157326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0.976602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BI1*~EE1*~FC1*HM1*~PE1*PI1*PR1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0.204162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0.000966012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0.979994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0.241809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0.00278783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0.962007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BI1*~FC1*HM1*~PE1*PI1*~SI1*TC1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0.212194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0.00292581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8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0.981238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EE1*~FC1*HM1*~PE1*PI1*~SI1*TC1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0.189782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0.00251168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0.964647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BI1*EE1*~FC1*~PE1*PR1*~SI1*TC1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0.208771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0.004085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0.994347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0.234247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0.00499576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0.983658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BI1*EE1*FC1*~HM1*~PI1*PR1*SI1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0.273164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0.00104874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9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0.976421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0.126604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0.00157326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0.987726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BI1*EE1*~FC1*HM1*PI1*~SI1*TC1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0.197455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0.000938475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0.991545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BI1*EE1*FC1*~HM1*~PI1*SI1*TC1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0.276283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0.00361568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0.970619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BI1*FC1*~HM1*PE1*~PI1*SI1*TC1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0.298612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0.00118685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A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0.966586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0.185586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0.000552058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0.981032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FC1*HM1*PE1*PI1*PR1*SI1*~TC1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0.13389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0.00118679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0.97351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0.215561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0.000993729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0.978206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BI1*FC1*HM1*PE1*PI1*SI1*TC1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0.231791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0.00113159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B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0.922552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0.23778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0.00858384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0.967108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0.107228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0.000303626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0.913044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0.109602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8.29E-05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0.832146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~BI1*~EE1*~FC1*~HM1*~PE1*PI1*~PR1*~SI1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0.1056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0.00240129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C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0.838667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~BI1*~EE1*~FC1*~HM1*~PE1*~PI1*PR1*~SI1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0.107145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0.8761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0.108029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0.000220776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0.845722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BI1*~EE1*~FC1*~HM1*PE1*~PI1*~PR1*~SI1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0.109105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0.9618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0.104385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D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0.811762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0.117164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0.00135249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0.963678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0.113024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0.903176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~EE1*~FC1*HM1*PE1*~PI1*PR1*SI1*~TC1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0.121498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0.00173873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0.994578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0.131848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0.00162852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E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0.993139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~EE1*~FC1*HM1*PE1*PI1*PR1*~SI1*TC1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0.121553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0.00427806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0.994131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0.103392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0.978323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0.123264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0.000910878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0.993769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0.121249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0.00165606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F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0.996823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0.152134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0.000855625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0.987991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EE1*FC1*~HM1*PE1*PR1*SI1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0.329662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0.000193238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0.954146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BI1*FC1*HM1*PE1*PR1*SI1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0.309542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0.000662446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0.931632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EE1*FC1*PE1*PI1*PR1*SI1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0.250007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D">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0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0.949973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BI1*EE1*~FC1*HM1*PI1*PR1*~TC1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0.177168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1">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0.993807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EE1*~FC1*HM1*PI1*PR1*SI1*~TC1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0.143247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5">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0.982211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BI1*~EE1*HM1*PE1*~PI1*PR1*SI1*~TC1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0.148601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9">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1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0.988071</w:t>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solution coverage: 0.918852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C">
            <w:pP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D">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E">
            <w:pPr>
              <w:rPr>
                <w:sz w:val="20"/>
                <w:szCs w:val="20"/>
              </w:rPr>
            </w:pPr>
            <w:r w:rsidDel="00000000" w:rsidR="00000000" w:rsidRPr="00000000">
              <w:rPr>
                <w:rtl w:val="0"/>
              </w:rPr>
            </w:r>
          </w:p>
        </w:tc>
      </w:tr>
      <w:tr>
        <w:trPr>
          <w:cantSplit w:val="0"/>
          <w:trHeight w:val="30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solution consistency: 0.831153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0">
            <w:pPr>
              <w:rPr>
                <w:rFonts w:ascii="Calibri" w:cs="Calibri" w:eastAsia="Calibri" w:hAnsi="Calibri"/>
                <w:color w:val="000000"/>
                <w:sz w:val="22"/>
                <w:szCs w:val="22"/>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1">
            <w:pPr>
              <w:rPr>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822">
            <w:pPr>
              <w:rPr>
                <w:sz w:val="20"/>
                <w:szCs w:val="20"/>
              </w:rPr>
            </w:pPr>
            <w:r w:rsidDel="00000000" w:rsidR="00000000" w:rsidRPr="00000000">
              <w:rPr>
                <w:rtl w:val="0"/>
              </w:rPr>
            </w:r>
          </w:p>
        </w:tc>
      </w:tr>
    </w:tbl>
    <w:p w:rsidR="00000000" w:rsidDel="00000000" w:rsidP="00000000" w:rsidRDefault="00000000" w:rsidRPr="00000000" w14:paraId="00000823">
      <w:pPr>
        <w:pStyle w:val="Heading3"/>
        <w:keepNext w:val="0"/>
        <w:keepLines w:val="0"/>
        <w:jc w:val="both"/>
        <w:rPr>
          <w:sz w:val="26"/>
          <w:szCs w:val="26"/>
        </w:rPr>
      </w:pPr>
      <w:bookmarkStart w:colFirst="0" w:colLast="0" w:name="_heading=h.hhbgm91ezl73" w:id="11"/>
      <w:bookmarkEnd w:id="11"/>
      <w:r w:rsidDel="00000000" w:rsidR="00000000" w:rsidRPr="00000000">
        <w:rPr>
          <w:sz w:val="26"/>
          <w:szCs w:val="26"/>
          <w:rtl w:val="0"/>
        </w:rPr>
        <w:t xml:space="preserve">Interpretation of Intermediate fsQCA Solutions</w:t>
      </w:r>
    </w:p>
    <w:p w:rsidR="00000000" w:rsidDel="00000000" w:rsidP="00000000" w:rsidRDefault="00000000" w:rsidRPr="00000000" w14:paraId="00000824">
      <w:pPr>
        <w:spacing w:after="240" w:before="240" w:lineRule="auto"/>
        <w:jc w:val="both"/>
        <w:rPr/>
      </w:pPr>
      <w:r w:rsidDel="00000000" w:rsidR="00000000" w:rsidRPr="00000000">
        <w:rPr>
          <w:rtl w:val="0"/>
        </w:rPr>
        <w:t xml:space="preserve">The intermediate solutions table generated by the fsQCA reveals multiple causal configurations—combinations of conditions—that are sufficient to explain high levels of actual technology use (AUT1). Each configuration represents a unique pathway to the outcome and is accompanied by three core metrics: raw coverage, unique coverage, and consistency (Satar et al., 2024).</w:t>
      </w:r>
    </w:p>
    <w:p w:rsidR="00000000" w:rsidDel="00000000" w:rsidP="00000000" w:rsidRDefault="00000000" w:rsidRPr="00000000" w14:paraId="00000825">
      <w:pPr>
        <w:numPr>
          <w:ilvl w:val="0"/>
          <w:numId w:val="32"/>
        </w:numPr>
        <w:spacing w:after="0" w:afterAutospacing="0" w:before="240" w:lineRule="auto"/>
        <w:ind w:left="720" w:hanging="360"/>
        <w:rPr/>
      </w:pPr>
      <w:r w:rsidDel="00000000" w:rsidR="00000000" w:rsidRPr="00000000">
        <w:rPr>
          <w:rtl w:val="0"/>
        </w:rPr>
        <w:t xml:space="preserve">Raw Coverage quantifies the proportion of cases (AUT1 = 1) that the configuration helps explain. Higher values indicate greater empirical relevance within the dataset.</w:t>
        <w:br w:type="textWrapping"/>
      </w:r>
    </w:p>
    <w:p w:rsidR="00000000" w:rsidDel="00000000" w:rsidP="00000000" w:rsidRDefault="00000000" w:rsidRPr="00000000" w14:paraId="00000826">
      <w:pPr>
        <w:numPr>
          <w:ilvl w:val="0"/>
          <w:numId w:val="32"/>
        </w:numPr>
        <w:spacing w:after="0" w:afterAutospacing="0" w:before="0" w:beforeAutospacing="0" w:lineRule="auto"/>
        <w:ind w:left="720" w:hanging="360"/>
        <w:rPr/>
      </w:pPr>
      <w:r w:rsidDel="00000000" w:rsidR="00000000" w:rsidRPr="00000000">
        <w:rPr>
          <w:rtl w:val="0"/>
        </w:rPr>
        <w:t xml:space="preserve">Unique Coverage reflects the portion of the outcome explained exclusively by a given configuration, without overlap with other combinations.</w:t>
        <w:br w:type="textWrapping"/>
      </w:r>
    </w:p>
    <w:p w:rsidR="00000000" w:rsidDel="00000000" w:rsidP="00000000" w:rsidRDefault="00000000" w:rsidRPr="00000000" w14:paraId="00000827">
      <w:pPr>
        <w:numPr>
          <w:ilvl w:val="0"/>
          <w:numId w:val="32"/>
        </w:numPr>
        <w:spacing w:after="240" w:before="0" w:beforeAutospacing="0" w:lineRule="auto"/>
        <w:ind w:left="720" w:hanging="360"/>
        <w:rPr/>
      </w:pPr>
      <w:r w:rsidDel="00000000" w:rsidR="00000000" w:rsidRPr="00000000">
        <w:rPr>
          <w:rtl w:val="0"/>
        </w:rPr>
        <w:t xml:space="preserve">Consistency assesses the degree to which cases that exhibit the configuration also demonstrate the outcome, indicating sufficiency. Values close to 1.0 denote high reliability of the causal path (Satar et al., 2024).</w:t>
      </w:r>
    </w:p>
    <w:p w:rsidR="00000000" w:rsidDel="00000000" w:rsidP="00000000" w:rsidRDefault="00000000" w:rsidRPr="00000000" w14:paraId="00000828">
      <w:pPr>
        <w:spacing w:after="240" w:before="240" w:lineRule="auto"/>
        <w:jc w:val="both"/>
        <w:rPr/>
      </w:pPr>
      <w:r w:rsidDel="00000000" w:rsidR="00000000" w:rsidRPr="00000000">
        <w:rPr>
          <w:rtl w:val="0"/>
        </w:rPr>
        <w:t xml:space="preserve">The overall solution coverage was found to be 0.919, meaning that nearly 92% of all cases exhibiting high actual use are accounted for by the derived configurations. The solution consistency was 0.831, indicating a strong level of sufficiency across the configurations included in the model. Together, these findings confirm the robust explanatory power of the selected antecedent combinations in predicting real-world adoption of wellness technologies.</w:t>
      </w:r>
    </w:p>
    <w:p w:rsidR="00000000" w:rsidDel="00000000" w:rsidP="00000000" w:rsidRDefault="00000000" w:rsidRPr="00000000" w14:paraId="00000829">
      <w:pPr>
        <w:spacing w:after="280" w:before="280" w:lineRule="auto"/>
        <w:jc w:val="both"/>
        <w:rPr/>
      </w:pPr>
      <w:r w:rsidDel="00000000" w:rsidR="00000000" w:rsidRPr="00000000">
        <w:rPr>
          <w:rtl w:val="0"/>
        </w:rPr>
      </w:r>
    </w:p>
    <w:p w:rsidR="00000000" w:rsidDel="00000000" w:rsidP="00000000" w:rsidRDefault="00000000" w:rsidRPr="00000000" w14:paraId="0000082A">
      <w:pPr>
        <w:pStyle w:val="Heading3"/>
        <w:jc w:val="center"/>
        <w:rPr>
          <w:sz w:val="24"/>
          <w:szCs w:val="24"/>
        </w:rPr>
      </w:pPr>
      <w:r w:rsidDel="00000000" w:rsidR="00000000" w:rsidRPr="00000000">
        <w:rPr>
          <w:sz w:val="24"/>
          <w:szCs w:val="24"/>
          <w:rtl w:val="0"/>
        </w:rPr>
        <w:t xml:space="preserve">Table 4.8: Top 5 Configurations (Based on Raw Coverage and High Consistency):</w:t>
      </w:r>
    </w:p>
    <w:tbl>
      <w:tblPr>
        <w:tblStyle w:val="Table10"/>
        <w:tblW w:w="9450.0" w:type="dxa"/>
        <w:jc w:val="left"/>
        <w:tblInd w:w="-45.0" w:type="dxa"/>
        <w:tblLayout w:type="fixed"/>
        <w:tblLook w:val="0400"/>
      </w:tblPr>
      <w:tblGrid>
        <w:gridCol w:w="2935"/>
        <w:gridCol w:w="951"/>
        <w:gridCol w:w="1190"/>
        <w:gridCol w:w="1113"/>
        <w:gridCol w:w="3261"/>
        <w:tblGridChange w:id="0">
          <w:tblGrid>
            <w:gridCol w:w="2935"/>
            <w:gridCol w:w="951"/>
            <w:gridCol w:w="1190"/>
            <w:gridCol w:w="1113"/>
            <w:gridCol w:w="3261"/>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bottom"/>
          </w:tcPr>
          <w:p w:rsidR="00000000" w:rsidDel="00000000" w:rsidP="00000000" w:rsidRDefault="00000000" w:rsidRPr="00000000" w14:paraId="0000082B">
            <w:pP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2C">
            <w:pPr>
              <w:jc w:val="center"/>
              <w:rPr>
                <w:b w:val="1"/>
                <w:sz w:val="20"/>
                <w:szCs w:val="20"/>
              </w:rPr>
            </w:pPr>
            <w:r w:rsidDel="00000000" w:rsidR="00000000" w:rsidRPr="00000000">
              <w:rPr>
                <w:b w:val="1"/>
                <w:sz w:val="20"/>
                <w:szCs w:val="20"/>
                <w:rtl w:val="0"/>
              </w:rPr>
              <w:t xml:space="preserve">Raw Coverage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2D">
            <w:pPr>
              <w:jc w:val="center"/>
              <w:rPr>
                <w:b w:val="1"/>
                <w:sz w:val="20"/>
                <w:szCs w:val="20"/>
              </w:rPr>
            </w:pPr>
            <w:r w:rsidDel="00000000" w:rsidR="00000000" w:rsidRPr="00000000">
              <w:rPr>
                <w:b w:val="1"/>
                <w:sz w:val="20"/>
                <w:szCs w:val="20"/>
                <w:rtl w:val="0"/>
              </w:rPr>
              <w:t xml:space="preserve">Unique Coverage</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2E">
            <w:pPr>
              <w:jc w:val="center"/>
              <w:rPr>
                <w:b w:val="1"/>
                <w:sz w:val="20"/>
                <w:szCs w:val="20"/>
              </w:rPr>
            </w:pPr>
            <w:r w:rsidDel="00000000" w:rsidR="00000000" w:rsidRPr="00000000">
              <w:rPr>
                <w:b w:val="1"/>
                <w:sz w:val="20"/>
                <w:szCs w:val="20"/>
                <w:rtl w:val="0"/>
              </w:rPr>
              <w:t xml:space="preserve">Consistency</w:t>
            </w:r>
          </w:p>
        </w:tc>
        <w:tc>
          <w:tcPr>
            <w:tcBorders>
              <w:top w:color="000000"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2F">
            <w:pPr>
              <w:jc w:val="center"/>
              <w:rPr>
                <w:b w:val="1"/>
                <w:sz w:val="20"/>
                <w:szCs w:val="20"/>
              </w:rPr>
            </w:pPr>
            <w:r w:rsidDel="00000000" w:rsidR="00000000" w:rsidRPr="00000000">
              <w:rPr>
                <w:b w:val="1"/>
                <w:sz w:val="20"/>
                <w:szCs w:val="20"/>
                <w:rtl w:val="0"/>
              </w:rPr>
              <w:t xml:space="preserve">Interpretation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0">
            <w:pPr>
              <w:rPr>
                <w:sz w:val="20"/>
                <w:szCs w:val="20"/>
              </w:rPr>
            </w:pPr>
            <w:r w:rsidDel="00000000" w:rsidR="00000000" w:rsidRPr="00000000">
              <w:rPr>
                <w:sz w:val="20"/>
                <w:szCs w:val="20"/>
                <w:rtl w:val="0"/>
              </w:rPr>
              <w:t xml:space="preserve">BI1*FC1*PE1*PR1*SI1*TC1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1">
            <w:pPr>
              <w:jc w:val="center"/>
              <w:rPr>
                <w:sz w:val="20"/>
                <w:szCs w:val="20"/>
              </w:rPr>
            </w:pPr>
            <w:r w:rsidDel="00000000" w:rsidR="00000000" w:rsidRPr="00000000">
              <w:rPr>
                <w:sz w:val="20"/>
                <w:szCs w:val="20"/>
                <w:rtl w:val="0"/>
              </w:rPr>
              <w:t xml:space="preserve">0.440507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2">
            <w:pPr>
              <w:jc w:val="center"/>
              <w:rPr>
                <w:sz w:val="20"/>
                <w:szCs w:val="20"/>
              </w:rPr>
            </w:pPr>
            <w:r w:rsidDel="00000000" w:rsidR="00000000" w:rsidRPr="00000000">
              <w:rPr>
                <w:sz w:val="20"/>
                <w:szCs w:val="20"/>
                <w:rtl w:val="0"/>
              </w:rPr>
              <w:t xml:space="preserve">0.00673461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3">
            <w:pPr>
              <w:jc w:val="center"/>
              <w:rPr>
                <w:sz w:val="20"/>
                <w:szCs w:val="20"/>
              </w:rPr>
            </w:pPr>
            <w:r w:rsidDel="00000000" w:rsidR="00000000" w:rsidRPr="00000000">
              <w:rPr>
                <w:sz w:val="20"/>
                <w:szCs w:val="20"/>
                <w:rtl w:val="0"/>
              </w:rPr>
              <w:t xml:space="preserve">0.935247</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4">
            <w:pPr>
              <w:rPr>
                <w:sz w:val="20"/>
                <w:szCs w:val="20"/>
              </w:rPr>
            </w:pPr>
            <w:r w:rsidDel="00000000" w:rsidR="00000000" w:rsidRPr="00000000">
              <w:rPr>
                <w:sz w:val="20"/>
                <w:szCs w:val="20"/>
                <w:rtl w:val="0"/>
              </w:rPr>
              <w:t xml:space="preserve">This is the most empirically dominant configuration. High behavioral intention, facilitating conditions, performance expectancy, perceived risk, social influence, and technology credibility together lead to actual technology use.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5">
            <w:pPr>
              <w:rPr>
                <w:sz w:val="20"/>
                <w:szCs w:val="20"/>
              </w:rPr>
            </w:pPr>
            <w:r w:rsidDel="00000000" w:rsidR="00000000" w:rsidRPr="00000000">
              <w:rPr>
                <w:sz w:val="20"/>
                <w:szCs w:val="20"/>
                <w:rtl w:val="0"/>
              </w:rPr>
              <w:t xml:space="preserve">BI1*EE1*FC1*PE1*SI1*TC1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6">
            <w:pPr>
              <w:jc w:val="center"/>
              <w:rPr>
                <w:sz w:val="20"/>
                <w:szCs w:val="20"/>
              </w:rPr>
            </w:pPr>
            <w:r w:rsidDel="00000000" w:rsidR="00000000" w:rsidRPr="00000000">
              <w:rPr>
                <w:sz w:val="20"/>
                <w:szCs w:val="20"/>
                <w:rtl w:val="0"/>
              </w:rPr>
              <w:t xml:space="preserve">0.405813</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7">
            <w:pPr>
              <w:jc w:val="center"/>
              <w:rPr>
                <w:sz w:val="20"/>
                <w:szCs w:val="20"/>
              </w:rPr>
            </w:pPr>
            <w:r w:rsidDel="00000000" w:rsidR="00000000" w:rsidRPr="00000000">
              <w:rPr>
                <w:sz w:val="20"/>
                <w:szCs w:val="20"/>
                <w:rtl w:val="0"/>
              </w:rPr>
              <w:t xml:space="preserve">0.00184929</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8">
            <w:pPr>
              <w:jc w:val="center"/>
              <w:rPr>
                <w:sz w:val="20"/>
                <w:szCs w:val="20"/>
              </w:rPr>
            </w:pPr>
            <w:r w:rsidDel="00000000" w:rsidR="00000000" w:rsidRPr="00000000">
              <w:rPr>
                <w:sz w:val="20"/>
                <w:szCs w:val="20"/>
                <w:rtl w:val="0"/>
              </w:rPr>
              <w:t xml:space="preserve">0.954678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9">
            <w:pPr>
              <w:rPr>
                <w:sz w:val="20"/>
                <w:szCs w:val="20"/>
              </w:rPr>
            </w:pPr>
            <w:r w:rsidDel="00000000" w:rsidR="00000000" w:rsidRPr="00000000">
              <w:rPr>
                <w:sz w:val="20"/>
                <w:szCs w:val="20"/>
                <w:rtl w:val="0"/>
              </w:rPr>
              <w:t xml:space="preserve">This configuration highlights that effort expectancy, along with behavioral intention and enabling external and credibility factors, explains a significant proportion of the outcome.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A">
            <w:pPr>
              <w:rPr>
                <w:sz w:val="20"/>
                <w:szCs w:val="20"/>
              </w:rPr>
            </w:pPr>
            <w:r w:rsidDel="00000000" w:rsidR="00000000" w:rsidRPr="00000000">
              <w:rPr>
                <w:sz w:val="20"/>
                <w:szCs w:val="20"/>
                <w:rtl w:val="0"/>
              </w:rPr>
              <w:t xml:space="preserve">EE1*FC1*PE1*PI1*PR1*SI1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B">
            <w:pPr>
              <w:jc w:val="center"/>
              <w:rPr>
                <w:sz w:val="20"/>
                <w:szCs w:val="20"/>
              </w:rPr>
            </w:pPr>
            <w:r w:rsidDel="00000000" w:rsidR="00000000" w:rsidRPr="00000000">
              <w:rPr>
                <w:sz w:val="20"/>
                <w:szCs w:val="20"/>
                <w:rtl w:val="0"/>
              </w:rPr>
              <w:t xml:space="preserve">0.329662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C">
            <w:pPr>
              <w:jc w:val="center"/>
              <w:rPr>
                <w:sz w:val="20"/>
                <w:szCs w:val="20"/>
              </w:rPr>
            </w:pPr>
            <w:r w:rsidDel="00000000" w:rsidR="00000000" w:rsidRPr="00000000">
              <w:rPr>
                <w:sz w:val="20"/>
                <w:szCs w:val="20"/>
                <w:rtl w:val="0"/>
              </w:rPr>
              <w:t xml:space="preserve">0</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D">
            <w:pPr>
              <w:jc w:val="center"/>
              <w:rPr>
                <w:sz w:val="20"/>
                <w:szCs w:val="20"/>
              </w:rPr>
            </w:pPr>
            <w:r w:rsidDel="00000000" w:rsidR="00000000" w:rsidRPr="00000000">
              <w:rPr>
                <w:sz w:val="20"/>
                <w:szCs w:val="20"/>
                <w:rtl w:val="0"/>
              </w:rPr>
              <w:t xml:space="preserve">0.954146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E">
            <w:pPr>
              <w:rPr>
                <w:sz w:val="20"/>
                <w:szCs w:val="20"/>
              </w:rPr>
            </w:pPr>
            <w:r w:rsidDel="00000000" w:rsidR="00000000" w:rsidRPr="00000000">
              <w:rPr>
                <w:sz w:val="20"/>
                <w:szCs w:val="20"/>
                <w:rtl w:val="0"/>
              </w:rPr>
              <w:t xml:space="preserve">Even without behavioral intention explicitly present, this structural and psychological combination (especially performance expectancy, innovativeness, and perceived risk) can predict technology use.</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3F">
            <w:pPr>
              <w:rPr>
                <w:sz w:val="20"/>
                <w:szCs w:val="20"/>
              </w:rPr>
            </w:pPr>
            <w:r w:rsidDel="00000000" w:rsidR="00000000" w:rsidRPr="00000000">
              <w:rPr>
                <w:sz w:val="20"/>
                <w:szCs w:val="20"/>
                <w:rtl w:val="0"/>
              </w:rPr>
              <w:t xml:space="preserve">BI1*FC1*HM1*PE1*PR1*SI1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0">
            <w:pPr>
              <w:jc w:val="center"/>
              <w:rPr>
                <w:sz w:val="20"/>
                <w:szCs w:val="20"/>
              </w:rPr>
            </w:pPr>
            <w:r w:rsidDel="00000000" w:rsidR="00000000" w:rsidRPr="00000000">
              <w:rPr>
                <w:sz w:val="20"/>
                <w:szCs w:val="20"/>
                <w:rtl w:val="0"/>
              </w:rPr>
              <w:t xml:space="preserve">0.309542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1">
            <w:pPr>
              <w:jc w:val="center"/>
              <w:rPr>
                <w:sz w:val="20"/>
                <w:szCs w:val="20"/>
              </w:rPr>
            </w:pPr>
            <w:r w:rsidDel="00000000" w:rsidR="00000000" w:rsidRPr="00000000">
              <w:rPr>
                <w:sz w:val="20"/>
                <w:szCs w:val="20"/>
                <w:rtl w:val="0"/>
              </w:rPr>
              <w:t xml:space="preserve">0.000662446</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2">
            <w:pPr>
              <w:jc w:val="center"/>
              <w:rPr>
                <w:sz w:val="20"/>
                <w:szCs w:val="20"/>
              </w:rPr>
            </w:pPr>
            <w:r w:rsidDel="00000000" w:rsidR="00000000" w:rsidRPr="00000000">
              <w:rPr>
                <w:sz w:val="20"/>
                <w:szCs w:val="20"/>
                <w:rtl w:val="0"/>
              </w:rPr>
              <w:t xml:space="preserve">0.931632</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3">
            <w:pPr>
              <w:rPr>
                <w:sz w:val="20"/>
                <w:szCs w:val="20"/>
              </w:rPr>
            </w:pPr>
            <w:r w:rsidDel="00000000" w:rsidR="00000000" w:rsidRPr="00000000">
              <w:rPr>
                <w:sz w:val="20"/>
                <w:szCs w:val="20"/>
                <w:rtl w:val="0"/>
              </w:rPr>
              <w:t xml:space="preserve">High motivation and performance expectancy, in tandem with enabling infrastructure and social norms, significantly influence usage among users with strong intention.</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4">
            <w:pPr>
              <w:rPr>
                <w:sz w:val="20"/>
                <w:szCs w:val="20"/>
              </w:rPr>
            </w:pPr>
            <w:r w:rsidDel="00000000" w:rsidR="00000000" w:rsidRPr="00000000">
              <w:rPr>
                <w:sz w:val="20"/>
                <w:szCs w:val="20"/>
                <w:rtl w:val="0"/>
              </w:rPr>
              <w:t xml:space="preserve">BI1*EE1*FC1*PI1*PR1*SI1*TC1</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5">
            <w:pPr>
              <w:jc w:val="center"/>
              <w:rPr>
                <w:sz w:val="20"/>
                <w:szCs w:val="20"/>
              </w:rPr>
            </w:pPr>
            <w:r w:rsidDel="00000000" w:rsidR="00000000" w:rsidRPr="00000000">
              <w:rPr>
                <w:sz w:val="20"/>
                <w:szCs w:val="20"/>
                <w:rtl w:val="0"/>
              </w:rPr>
              <w:t xml:space="preserve">0.23778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6">
            <w:pPr>
              <w:jc w:val="center"/>
              <w:rPr>
                <w:sz w:val="20"/>
                <w:szCs w:val="20"/>
              </w:rPr>
            </w:pPr>
            <w:r w:rsidDel="00000000" w:rsidR="00000000" w:rsidRPr="00000000">
              <w:rPr>
                <w:sz w:val="20"/>
                <w:szCs w:val="20"/>
                <w:rtl w:val="0"/>
              </w:rPr>
              <w:t xml:space="preserve">0.00858384</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7">
            <w:pPr>
              <w:jc w:val="center"/>
              <w:rPr>
                <w:sz w:val="20"/>
                <w:szCs w:val="20"/>
              </w:rPr>
            </w:pPr>
            <w:r w:rsidDel="00000000" w:rsidR="00000000" w:rsidRPr="00000000">
              <w:rPr>
                <w:sz w:val="20"/>
                <w:szCs w:val="20"/>
                <w:rtl w:val="0"/>
              </w:rPr>
              <w:t xml:space="preserve">0.967108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vAlign w:val="center"/>
          </w:tcPr>
          <w:p w:rsidR="00000000" w:rsidDel="00000000" w:rsidP="00000000" w:rsidRDefault="00000000" w:rsidRPr="00000000" w14:paraId="00000848">
            <w:pPr>
              <w:rPr>
                <w:sz w:val="20"/>
                <w:szCs w:val="20"/>
              </w:rPr>
            </w:pPr>
            <w:r w:rsidDel="00000000" w:rsidR="00000000" w:rsidRPr="00000000">
              <w:rPr>
                <w:sz w:val="20"/>
                <w:szCs w:val="20"/>
                <w:rtl w:val="0"/>
              </w:rPr>
              <w:t xml:space="preserve">This configuration shows that personal innovativeness, intention, and credibility factors together explain the outcome with very high consistency.</w:t>
            </w:r>
          </w:p>
        </w:tc>
      </w:tr>
    </w:tbl>
    <w:p w:rsidR="00000000" w:rsidDel="00000000" w:rsidP="00000000" w:rsidRDefault="00000000" w:rsidRPr="00000000" w14:paraId="00000849">
      <w:pPr>
        <w:rPr/>
      </w:pPr>
      <w:r w:rsidDel="00000000" w:rsidR="00000000" w:rsidRPr="00000000">
        <w:rPr>
          <w:rtl w:val="0"/>
        </w:rPr>
      </w:r>
    </w:p>
    <w:p w:rsidR="00000000" w:rsidDel="00000000" w:rsidP="00000000" w:rsidRDefault="00000000" w:rsidRPr="00000000" w14:paraId="0000084A">
      <w:pPr>
        <w:pStyle w:val="Heading3"/>
        <w:keepNext w:val="0"/>
        <w:keepLines w:val="0"/>
        <w:jc w:val="both"/>
        <w:rPr>
          <w:sz w:val="26"/>
          <w:szCs w:val="26"/>
        </w:rPr>
      </w:pPr>
      <w:bookmarkStart w:colFirst="0" w:colLast="0" w:name="_heading=h.do83t6l120f3" w:id="12"/>
      <w:bookmarkEnd w:id="12"/>
      <w:r w:rsidDel="00000000" w:rsidR="00000000" w:rsidRPr="00000000">
        <w:rPr>
          <w:sz w:val="26"/>
          <w:szCs w:val="26"/>
          <w:rtl w:val="0"/>
        </w:rPr>
        <w:t xml:space="preserve">4.3.1 Key Causal Configurations and Coincidence Analysis</w:t>
      </w:r>
    </w:p>
    <w:p w:rsidR="00000000" w:rsidDel="00000000" w:rsidP="00000000" w:rsidRDefault="00000000" w:rsidRPr="00000000" w14:paraId="0000084B">
      <w:pPr>
        <w:spacing w:after="240" w:before="240" w:lineRule="auto"/>
        <w:jc w:val="both"/>
        <w:rPr/>
      </w:pPr>
      <w:r w:rsidDel="00000000" w:rsidR="00000000" w:rsidRPr="00000000">
        <w:rPr>
          <w:rtl w:val="0"/>
        </w:rPr>
        <w:t xml:space="preserve">The best-performing configurations identified in Table 4.8 reveal multiple sufficient pathways that explain high actual use of preventive health technologies (AUT1). These configurations consistently highlight the pivotal role of five core constructs: behavioral intention (BI), facilitating conditions (FC), social influence (SI), perceived risk (PR), and technology credibility (TC). The high solution coverage (91.88%) and solution consistency (&gt;83%) reflect both strong explanatory power and empirical robustness of the fsQCA findings (Satar et al., 2024).</w:t>
      </w:r>
    </w:p>
    <w:p w:rsidR="00000000" w:rsidDel="00000000" w:rsidP="00000000" w:rsidRDefault="00000000" w:rsidRPr="00000000" w14:paraId="0000084C">
      <w:pPr>
        <w:spacing w:after="240" w:before="240" w:lineRule="auto"/>
        <w:jc w:val="both"/>
        <w:rPr/>
      </w:pPr>
      <w:sdt>
        <w:sdtPr>
          <w:tag w:val="goog_rdk_0"/>
        </w:sdtPr>
        <w:sdtContent>
          <w:r w:rsidDel="00000000" w:rsidR="00000000" w:rsidRPr="00000000">
            <w:rPr>
              <w:rFonts w:ascii="Gungsuh" w:cs="Gungsuh" w:eastAsia="Gungsuh" w:hAnsi="Gungsuh"/>
              <w:rtl w:val="0"/>
            </w:rPr>
            <w:t xml:space="preserve">To deepen this insight, coincidence analysis was conducted using the truth table results (see Annexure 3). Only configurations meeting the ≥0.80 consistency threshold were considered—ensuring that the pathways analyzed were reliably and repeatedly linked to high AUT1. These “good coincidences” represent empirically dominant causal combinations, or equifinal routes, toward technology adoption.</w:t>
          </w:r>
        </w:sdtContent>
      </w:sdt>
    </w:p>
    <w:p w:rsidR="00000000" w:rsidDel="00000000" w:rsidP="00000000" w:rsidRDefault="00000000" w:rsidRPr="00000000" w14:paraId="0000084D">
      <w:pPr>
        <w:spacing w:after="240" w:before="240" w:lineRule="auto"/>
        <w:jc w:val="both"/>
        <w:rPr/>
      </w:pPr>
      <w:r w:rsidDel="00000000" w:rsidR="00000000" w:rsidRPr="00000000">
        <w:rPr>
          <w:rtl w:val="0"/>
        </w:rPr>
        <w:t xml:space="preserve">Among the most notable configurations:</w:t>
      </w:r>
    </w:p>
    <w:p w:rsidR="00000000" w:rsidDel="00000000" w:rsidP="00000000" w:rsidRDefault="00000000" w:rsidRPr="00000000" w14:paraId="0000084E">
      <w:pPr>
        <w:numPr>
          <w:ilvl w:val="0"/>
          <w:numId w:val="10"/>
        </w:numPr>
        <w:spacing w:after="0" w:afterAutospacing="0" w:before="240" w:lineRule="auto"/>
        <w:ind w:left="720" w:hanging="360"/>
        <w:rPr/>
      </w:pPr>
      <w:r w:rsidDel="00000000" w:rsidR="00000000" w:rsidRPr="00000000">
        <w:rPr>
          <w:rtl w:val="0"/>
        </w:rPr>
        <w:t xml:space="preserve">*</w:t>
      </w:r>
      <w:r w:rsidDel="00000000" w:rsidR="00000000" w:rsidRPr="00000000">
        <w:rPr>
          <w:i w:val="1"/>
          <w:rtl w:val="0"/>
        </w:rPr>
        <w:t xml:space="preserve">BI1·EE1·HM1·PR1·SI1·TC1</w:t>
        <w:br w:type="textWrapping"/>
      </w:r>
      <w:r w:rsidDel="00000000" w:rsidR="00000000" w:rsidRPr="00000000">
        <w:rPr>
          <w:rtl w:val="0"/>
        </w:rPr>
        <w:t xml:space="preserve"> </w:t>
      </w:r>
      <w:r w:rsidDel="00000000" w:rsidR="00000000" w:rsidRPr="00000000">
        <w:rPr>
          <w:i w:val="1"/>
          <w:rtl w:val="0"/>
        </w:rPr>
        <w:t xml:space="preserve">Consistency: 0.996</w:t>
        <w:br w:type="textWrapping"/>
      </w:r>
      <w:r w:rsidDel="00000000" w:rsidR="00000000" w:rsidRPr="00000000">
        <w:rPr>
          <w:rtl w:val="0"/>
        </w:rPr>
        <w:t xml:space="preserve"> This pathway combines intention, usability, personal motivation, social influence, and risk perception—even in the absence of perceived technology credibility—to consistently result in adoption. It reflects a comprehensive “user mindset,” where multiple motivational and contextual factors override concerns about formal trust anchors.</w:t>
        <w:br w:type="textWrapping"/>
      </w:r>
    </w:p>
    <w:p w:rsidR="00000000" w:rsidDel="00000000" w:rsidP="00000000" w:rsidRDefault="00000000" w:rsidRPr="00000000" w14:paraId="0000084F">
      <w:pPr>
        <w:numPr>
          <w:ilvl w:val="0"/>
          <w:numId w:val="10"/>
        </w:numPr>
        <w:spacing w:after="0" w:afterAutospacing="0" w:before="0" w:beforeAutospacing="0" w:lineRule="auto"/>
        <w:ind w:left="720" w:hanging="360"/>
        <w:rPr/>
      </w:pPr>
      <w:r w:rsidDel="00000000" w:rsidR="00000000" w:rsidRPr="00000000">
        <w:rPr>
          <w:rtl w:val="0"/>
        </w:rPr>
        <w:t xml:space="preserve">*</w:t>
      </w:r>
      <w:r w:rsidDel="00000000" w:rsidR="00000000" w:rsidRPr="00000000">
        <w:rPr>
          <w:i w:val="1"/>
          <w:rtl w:val="0"/>
        </w:rPr>
        <w:t xml:space="preserve">EE1·FC1·HM1·PE1·PR1·SI1</w:t>
        <w:br w:type="textWrapping"/>
      </w:r>
      <w:r w:rsidDel="00000000" w:rsidR="00000000" w:rsidRPr="00000000">
        <w:rPr>
          <w:rtl w:val="0"/>
        </w:rPr>
        <w:t xml:space="preserve"> </w:t>
      </w:r>
      <w:r w:rsidDel="00000000" w:rsidR="00000000" w:rsidRPr="00000000">
        <w:rPr>
          <w:i w:val="1"/>
          <w:rtl w:val="0"/>
        </w:rPr>
        <w:t xml:space="preserve">Consistency: 0.986</w:t>
        <w:br w:type="textWrapping"/>
      </w:r>
      <w:r w:rsidDel="00000000" w:rsidR="00000000" w:rsidRPr="00000000">
        <w:rPr>
          <w:rtl w:val="0"/>
        </w:rPr>
        <w:t xml:space="preserve"> Here, the joint presence of effort expectancy, enabling conditions, health motivation, and performance expectancy—along with social support—creates a compelling case for adoption. This suggests that users gravitate toward adoption when tools are intuitive, well-supported, and reinforced by community norms and personal wellness goals.</w:t>
        <w:br w:type="textWrapping"/>
      </w:r>
    </w:p>
    <w:p w:rsidR="00000000" w:rsidDel="00000000" w:rsidP="00000000" w:rsidRDefault="00000000" w:rsidRPr="00000000" w14:paraId="00000850">
      <w:pPr>
        <w:numPr>
          <w:ilvl w:val="0"/>
          <w:numId w:val="10"/>
        </w:numPr>
        <w:spacing w:after="0" w:afterAutospacing="0" w:before="0" w:beforeAutospacing="0" w:lineRule="auto"/>
        <w:ind w:left="720" w:hanging="360"/>
        <w:rPr/>
      </w:pPr>
      <w:r w:rsidDel="00000000" w:rsidR="00000000" w:rsidRPr="00000000">
        <w:rPr>
          <w:rtl w:val="0"/>
        </w:rPr>
        <w:t xml:space="preserve">*</w:t>
      </w:r>
      <w:r w:rsidDel="00000000" w:rsidR="00000000" w:rsidRPr="00000000">
        <w:rPr>
          <w:i w:val="1"/>
          <w:rtl w:val="0"/>
        </w:rPr>
        <w:t xml:space="preserve">BI1·EE1·FC1·PE1·PR1·SI1</w:t>
        <w:br w:type="textWrapping"/>
      </w:r>
      <w:r w:rsidDel="00000000" w:rsidR="00000000" w:rsidRPr="00000000">
        <w:rPr>
          <w:rtl w:val="0"/>
        </w:rPr>
        <w:t xml:space="preserve"> </w:t>
      </w:r>
      <w:r w:rsidDel="00000000" w:rsidR="00000000" w:rsidRPr="00000000">
        <w:rPr>
          <w:i w:val="1"/>
          <w:rtl w:val="0"/>
        </w:rPr>
        <w:t xml:space="preserve">Consistency: 0.985</w:t>
        <w:br w:type="textWrapping"/>
      </w:r>
      <w:r w:rsidDel="00000000" w:rsidR="00000000" w:rsidRPr="00000000">
        <w:rPr>
          <w:rtl w:val="0"/>
        </w:rPr>
        <w:t xml:space="preserve"> This configuration underscores the strength of behavioral intention in tandem with beliefs about usability, performance, and enabling infrastructure. It highlights how intent must be supported by cognitive and structural enablers to translate into action.</w:t>
        <w:br w:type="textWrapping"/>
      </w:r>
    </w:p>
    <w:p w:rsidR="00000000" w:rsidDel="00000000" w:rsidP="00000000" w:rsidRDefault="00000000" w:rsidRPr="00000000" w14:paraId="00000851">
      <w:pPr>
        <w:numPr>
          <w:ilvl w:val="0"/>
          <w:numId w:val="10"/>
        </w:numPr>
        <w:spacing w:after="240" w:before="0" w:beforeAutospacing="0" w:lineRule="auto"/>
        <w:ind w:left="720" w:hanging="360"/>
        <w:rPr/>
      </w:pPr>
      <w:r w:rsidDel="00000000" w:rsidR="00000000" w:rsidRPr="00000000">
        <w:rPr>
          <w:rtl w:val="0"/>
        </w:rPr>
        <w:t xml:space="preserve">*</w:t>
      </w:r>
      <w:r w:rsidDel="00000000" w:rsidR="00000000" w:rsidRPr="00000000">
        <w:rPr>
          <w:i w:val="1"/>
          <w:rtl w:val="0"/>
        </w:rPr>
        <w:t xml:space="preserve">BI1·FC1·PE1·PR1·SI1·TC1</w:t>
        <w:br w:type="textWrapping"/>
      </w:r>
      <w:r w:rsidDel="00000000" w:rsidR="00000000" w:rsidRPr="00000000">
        <w:rPr>
          <w:rtl w:val="0"/>
        </w:rPr>
        <w:t xml:space="preserve"> </w:t>
      </w:r>
      <w:r w:rsidDel="00000000" w:rsidR="00000000" w:rsidRPr="00000000">
        <w:rPr>
          <w:i w:val="1"/>
          <w:rtl w:val="0"/>
        </w:rPr>
        <w:t xml:space="preserve">Consistency: 0.983</w:t>
        <w:br w:type="textWrapping"/>
      </w:r>
      <w:r w:rsidDel="00000000" w:rsidR="00000000" w:rsidRPr="00000000">
        <w:rPr>
          <w:rtl w:val="0"/>
        </w:rPr>
        <w:t xml:space="preserve"> This path places importance on a supportive and credible ecosystem, where belief in product value and surrounding infrastructure drives action—even without direct effort expectancy.</w:t>
        <w:br w:type="textWrapping"/>
      </w:r>
    </w:p>
    <w:p w:rsidR="00000000" w:rsidDel="00000000" w:rsidP="00000000" w:rsidRDefault="00000000" w:rsidRPr="00000000" w14:paraId="00000852">
      <w:pPr>
        <w:spacing w:after="240" w:before="240" w:lineRule="auto"/>
        <w:jc w:val="both"/>
        <w:rPr/>
      </w:pPr>
      <w:r w:rsidDel="00000000" w:rsidR="00000000" w:rsidRPr="00000000">
        <w:rPr>
          <w:rtl w:val="0"/>
        </w:rPr>
        <w:t xml:space="preserve">Collectively, these high-consistency configurations validate that no single factor is sufficient in isolation. Instead, it is the interplay of intention, motivation, support, credibility, and perceived value that consistently results in adoption. This reflects the principle of equifinality in fsQCA, where multiple distinct causal paths can lead to the same outcome—offering a more nuanced, real-world model of digital health adoption (Satar et al., 2024).</w:t>
      </w:r>
    </w:p>
    <w:p w:rsidR="00000000" w:rsidDel="00000000" w:rsidP="00000000" w:rsidRDefault="00000000" w:rsidRPr="00000000" w14:paraId="00000853">
      <w:pPr>
        <w:spacing w:after="280" w:before="280" w:lineRule="auto"/>
        <w:jc w:val="both"/>
        <w:rPr/>
      </w:pPr>
      <w:r w:rsidDel="00000000" w:rsidR="00000000" w:rsidRPr="00000000">
        <w:rPr>
          <w:rtl w:val="0"/>
        </w:rPr>
      </w:r>
    </w:p>
    <w:p w:rsidR="00000000" w:rsidDel="00000000" w:rsidP="00000000" w:rsidRDefault="00000000" w:rsidRPr="00000000" w14:paraId="00000854">
      <w:pPr>
        <w:rPr>
          <w:rFonts w:ascii="Calibri" w:cs="Calibri" w:eastAsia="Calibri" w:hAnsi="Calibri"/>
          <w:b w:val="1"/>
          <w:color w:val="000000"/>
          <w:sz w:val="22"/>
          <w:szCs w:val="22"/>
        </w:rPr>
      </w:pPr>
      <w:r w:rsidDel="00000000" w:rsidR="00000000" w:rsidRPr="00000000">
        <w:rPr>
          <w:b w:val="1"/>
          <w:rtl w:val="0"/>
        </w:rPr>
        <w:t xml:space="preserve">4.3.2 Necessary Condition Analysis (NCA)</w:t>
      </w:r>
      <w:r w:rsidDel="00000000" w:rsidR="00000000" w:rsidRPr="00000000">
        <w:rPr>
          <w:rtl w:val="0"/>
        </w:rPr>
      </w:r>
    </w:p>
    <w:p w:rsidR="00000000" w:rsidDel="00000000" w:rsidP="00000000" w:rsidRDefault="00000000" w:rsidRPr="00000000" w14:paraId="0000085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856">
      <w:pPr>
        <w:jc w:val="center"/>
        <w:rPr>
          <w:b w:val="1"/>
          <w:color w:val="000000"/>
        </w:rPr>
      </w:pPr>
      <w:r w:rsidDel="00000000" w:rsidR="00000000" w:rsidRPr="00000000">
        <w:rPr>
          <w:b w:val="1"/>
          <w:color w:val="000000"/>
          <w:rtl w:val="0"/>
        </w:rPr>
        <w:t xml:space="preserve">Table 4.9: Necessary Conditions Table</w:t>
      </w:r>
    </w:p>
    <w:tbl>
      <w:tblPr>
        <w:tblStyle w:val="Table11"/>
        <w:tblW w:w="5608.0" w:type="dxa"/>
        <w:jc w:val="center"/>
        <w:tblLayout w:type="fixed"/>
        <w:tblLook w:val="0400"/>
      </w:tblPr>
      <w:tblGrid>
        <w:gridCol w:w="2660"/>
        <w:gridCol w:w="1559"/>
        <w:gridCol w:w="1389"/>
        <w:tblGridChange w:id="0">
          <w:tblGrid>
            <w:gridCol w:w="2660"/>
            <w:gridCol w:w="1559"/>
            <w:gridCol w:w="1389"/>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8">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Consistency</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9">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Coverage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A">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0.829013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C">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0.898423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0.714387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5F">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0.806024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0">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0.60037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2">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0.737358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HM1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0.728879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5">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0.839898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6">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PE1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7">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0.635505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8">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0.740833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PR1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A">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0.864424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B">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0.856507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C">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D">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0.647982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6E">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0.788774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SI1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0">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0.766912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1">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0.735081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72">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TC1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3">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0.753304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74">
            <w:pPr>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0.809522</w:t>
            </w:r>
          </w:p>
        </w:tc>
      </w:tr>
    </w:tbl>
    <w:p w:rsidR="00000000" w:rsidDel="00000000" w:rsidP="00000000" w:rsidRDefault="00000000" w:rsidRPr="00000000" w14:paraId="00000875">
      <w:pPr>
        <w:spacing w:after="240" w:before="240" w:lineRule="auto"/>
        <w:jc w:val="both"/>
        <w:rPr/>
      </w:pPr>
      <w:sdt>
        <w:sdtPr>
          <w:tag w:val="goog_rdk_1"/>
        </w:sdtPr>
        <w:sdtContent>
          <w:r w:rsidDel="00000000" w:rsidR="00000000" w:rsidRPr="00000000">
            <w:rPr>
              <w:rFonts w:ascii="Gungsuh" w:cs="Gungsuh" w:eastAsia="Gungsuh" w:hAnsi="Gungsuh"/>
              <w:rtl w:val="0"/>
            </w:rPr>
            <w:t xml:space="preserve">To further assess the impact of individual conditions on actual technology use (AUT1), a Necessary Condition Analysis (NCA) was conducted (Table 4.9). In fsQCA, a condition is considered necessary when its consistency score is ≥ 0.90, indicating that the condition is almost always present when the outcome occurs (Satar et al., 2024).</w:t>
          </w:r>
        </w:sdtContent>
      </w:sdt>
    </w:p>
    <w:p w:rsidR="00000000" w:rsidDel="00000000" w:rsidP="00000000" w:rsidRDefault="00000000" w:rsidRPr="00000000" w14:paraId="00000876">
      <w:pPr>
        <w:spacing w:after="240" w:before="240" w:lineRule="auto"/>
        <w:jc w:val="both"/>
        <w:rPr/>
      </w:pPr>
      <w:r w:rsidDel="00000000" w:rsidR="00000000" w:rsidRPr="00000000">
        <w:rPr>
          <w:rtl w:val="0"/>
        </w:rPr>
        <w:t xml:space="preserve">In this study, none of the conditions met the strict 0.90 consistency threshold, indicating that no single factor is necessary on its own to ensure actual use of preventive health technology. This underscores the configurational nature of technology adoption—outcomes are driven by combinations of factors rather than isolated drivers.</w:t>
      </w:r>
    </w:p>
    <w:p w:rsidR="00000000" w:rsidDel="00000000" w:rsidP="00000000" w:rsidRDefault="00000000" w:rsidRPr="00000000" w14:paraId="00000877">
      <w:pPr>
        <w:spacing w:after="240" w:before="240" w:lineRule="auto"/>
        <w:jc w:val="both"/>
        <w:rPr/>
      </w:pPr>
      <w:r w:rsidDel="00000000" w:rsidR="00000000" w:rsidRPr="00000000">
        <w:rPr>
          <w:rtl w:val="0"/>
        </w:rPr>
        <w:t xml:space="preserve">However, several conditions exhibited high consistency values, suggesting that while not strictly “necessary,” they act as critical enabling conditions:</w:t>
      </w:r>
    </w:p>
    <w:p w:rsidR="00000000" w:rsidDel="00000000" w:rsidP="00000000" w:rsidRDefault="00000000" w:rsidRPr="00000000" w14:paraId="00000878">
      <w:pPr>
        <w:numPr>
          <w:ilvl w:val="0"/>
          <w:numId w:val="29"/>
        </w:numPr>
        <w:spacing w:after="0" w:afterAutospacing="0" w:before="240" w:lineRule="auto"/>
        <w:ind w:left="720" w:hanging="360"/>
        <w:rPr/>
      </w:pPr>
      <w:r w:rsidDel="00000000" w:rsidR="00000000" w:rsidRPr="00000000">
        <w:rPr>
          <w:rtl w:val="0"/>
        </w:rPr>
        <w:t xml:space="preserve">Perceived Risk (PR1): Showed the highest consistency score among all conditions. While it does not meet the 0.90 cutoff, its proximity suggests that low or manageable perceived risk is frequently present when adoption occurs. This aligns with prior findings indicating that minimizing risk perception enhances behavioral intention.</w:t>
        <w:br w:type="textWrapping"/>
      </w:r>
    </w:p>
    <w:p w:rsidR="00000000" w:rsidDel="00000000" w:rsidP="00000000" w:rsidRDefault="00000000" w:rsidRPr="00000000" w14:paraId="00000879">
      <w:pPr>
        <w:numPr>
          <w:ilvl w:val="0"/>
          <w:numId w:val="29"/>
        </w:numPr>
        <w:spacing w:after="0" w:afterAutospacing="0" w:before="0" w:beforeAutospacing="0" w:lineRule="auto"/>
        <w:ind w:left="720" w:hanging="360"/>
        <w:rPr/>
      </w:pPr>
      <w:r w:rsidDel="00000000" w:rsidR="00000000" w:rsidRPr="00000000">
        <w:rPr>
          <w:rtl w:val="0"/>
        </w:rPr>
        <w:t xml:space="preserve">Behavioral Intention (BI1): Although not strictly necessary, BI1 exhibited high consistency and the highest coverage, confirming that intention is frequently aligned with actual technology use. Its strong presence across most configurations makes it a quasi-necessary condition.</w:t>
        <w:br w:type="textWrapping"/>
      </w:r>
    </w:p>
    <w:p w:rsidR="00000000" w:rsidDel="00000000" w:rsidP="00000000" w:rsidRDefault="00000000" w:rsidRPr="00000000" w14:paraId="0000087A">
      <w:pPr>
        <w:numPr>
          <w:ilvl w:val="0"/>
          <w:numId w:val="29"/>
        </w:numPr>
        <w:spacing w:after="0" w:afterAutospacing="0" w:before="0" w:beforeAutospacing="0" w:lineRule="auto"/>
        <w:ind w:left="720" w:hanging="360"/>
        <w:rPr/>
      </w:pPr>
      <w:r w:rsidDel="00000000" w:rsidR="00000000" w:rsidRPr="00000000">
        <w:rPr>
          <w:rtl w:val="0"/>
        </w:rPr>
        <w:t xml:space="preserve">Health Motivation (HM1) and Social Influence (SI1): These showed moderate levels of consistency, indicating that personal drive for wellness and influence from others (peers, influencers, or communities) often accompany technology adoption, but are not universally present.</w:t>
        <w:br w:type="textWrapping"/>
      </w:r>
    </w:p>
    <w:p w:rsidR="00000000" w:rsidDel="00000000" w:rsidP="00000000" w:rsidRDefault="00000000" w:rsidRPr="00000000" w14:paraId="0000087B">
      <w:pPr>
        <w:numPr>
          <w:ilvl w:val="0"/>
          <w:numId w:val="29"/>
        </w:numPr>
        <w:spacing w:after="240" w:before="0" w:beforeAutospacing="0" w:lineRule="auto"/>
        <w:ind w:left="720" w:hanging="360"/>
        <w:rPr/>
      </w:pPr>
      <w:r w:rsidDel="00000000" w:rsidR="00000000" w:rsidRPr="00000000">
        <w:rPr>
          <w:rtl w:val="0"/>
        </w:rPr>
        <w:t xml:space="preserve">Technology Credibility (TC1): Though not a standalone prerequisite, TC1 appears as a frequent enabler—suggesting that perceived credibility contributes meaningfully to adoption, especially when institutional trust is low.</w:t>
        <w:br w:type="textWrapping"/>
      </w:r>
    </w:p>
    <w:p w:rsidR="00000000" w:rsidDel="00000000" w:rsidP="00000000" w:rsidRDefault="00000000" w:rsidRPr="00000000" w14:paraId="0000087C">
      <w:pPr>
        <w:spacing w:after="240" w:before="240" w:lineRule="auto"/>
        <w:jc w:val="both"/>
        <w:rPr/>
      </w:pPr>
      <w:r w:rsidDel="00000000" w:rsidR="00000000" w:rsidRPr="00000000">
        <w:rPr>
          <w:rtl w:val="0"/>
        </w:rPr>
        <w:t xml:space="preserve">In sum, while no single construct is necessary, the analysis confirms that BI, PR, and TC play pivotal supporting roles across the ecosystem of adoption. This supports the broader fsQCA insight: actual use is not the result of isolated causes, but of intersecting motivational, structural, and credibility-based conditions.</w:t>
      </w:r>
    </w:p>
    <w:p w:rsidR="00000000" w:rsidDel="00000000" w:rsidP="00000000" w:rsidRDefault="00000000" w:rsidRPr="00000000" w14:paraId="0000087D">
      <w:pPr>
        <w:spacing w:after="280" w:before="280" w:lineRule="auto"/>
        <w:jc w:val="both"/>
        <w:rPr/>
      </w:pPr>
      <w:r w:rsidDel="00000000" w:rsidR="00000000" w:rsidRPr="00000000">
        <w:rPr>
          <w:rtl w:val="0"/>
        </w:rPr>
      </w:r>
    </w:p>
    <w:p w:rsidR="00000000" w:rsidDel="00000000" w:rsidP="00000000" w:rsidRDefault="00000000" w:rsidRPr="00000000" w14:paraId="0000087E">
      <w:pPr>
        <w:spacing w:after="280" w:before="280" w:lineRule="auto"/>
        <w:jc w:val="both"/>
        <w:rPr/>
      </w:pPr>
      <w:r w:rsidDel="00000000" w:rsidR="00000000" w:rsidRPr="00000000">
        <w:rPr>
          <w:rtl w:val="0"/>
        </w:rPr>
      </w:r>
    </w:p>
    <w:p w:rsidR="00000000" w:rsidDel="00000000" w:rsidP="00000000" w:rsidRDefault="00000000" w:rsidRPr="00000000" w14:paraId="0000087F">
      <w:pPr>
        <w:rPr>
          <w:b w:val="1"/>
        </w:rPr>
      </w:pPr>
      <w:r w:rsidDel="00000000" w:rsidR="00000000" w:rsidRPr="00000000">
        <w:rPr>
          <w:rtl w:val="0"/>
        </w:rPr>
      </w:r>
    </w:p>
    <w:p w:rsidR="00000000" w:rsidDel="00000000" w:rsidP="00000000" w:rsidRDefault="00000000" w:rsidRPr="00000000" w14:paraId="00000880">
      <w:pP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881">
      <w:pPr>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882">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3">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4">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5">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6">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7">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8">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9">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A">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B">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C">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D">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E">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8F">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0">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1">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2">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3">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4">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5">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6">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7">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8">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9">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A">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B">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C">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D">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9E">
      <w:pPr>
        <w:jc w:val="center"/>
        <w:rPr/>
      </w:pPr>
      <w:r w:rsidDel="00000000" w:rsidR="00000000" w:rsidRPr="00000000">
        <w:rPr>
          <w:b w:val="1"/>
          <w:smallCaps w:val="1"/>
          <w:color w:val="0d0d0d"/>
          <w:highlight w:val="white"/>
          <w:rtl w:val="0"/>
        </w:rPr>
        <w:t xml:space="preserve">CHAPTER V:</w:t>
      </w:r>
      <w:r w:rsidDel="00000000" w:rsidR="00000000" w:rsidRPr="00000000">
        <w:rPr>
          <w:rtl w:val="0"/>
        </w:rPr>
      </w:r>
    </w:p>
    <w:p w:rsidR="00000000" w:rsidDel="00000000" w:rsidP="00000000" w:rsidRDefault="00000000" w:rsidRPr="00000000" w14:paraId="0000089F">
      <w:pPr>
        <w:jc w:val="center"/>
        <w:rPr>
          <w:b w:val="1"/>
          <w:smallCaps w:val="1"/>
          <w:color w:val="0d0d0d"/>
          <w:highlight w:val="white"/>
        </w:rPr>
      </w:pPr>
      <w:r w:rsidDel="00000000" w:rsidR="00000000" w:rsidRPr="00000000">
        <w:rPr>
          <w:b w:val="1"/>
          <w:smallCaps w:val="1"/>
          <w:color w:val="0d0d0d"/>
          <w:highlight w:val="white"/>
          <w:rtl w:val="0"/>
        </w:rPr>
        <w:t xml:space="preserve">DISCUSSION</w:t>
      </w:r>
    </w:p>
    <w:p w:rsidR="00000000" w:rsidDel="00000000" w:rsidP="00000000" w:rsidRDefault="00000000" w:rsidRPr="00000000" w14:paraId="000008A0">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Validation of Antecedents and Consequences of Actual Use of Technology (AUT)</w:t>
      </w:r>
      <w:r w:rsidDel="00000000" w:rsidR="00000000" w:rsidRPr="00000000">
        <w:rPr>
          <w:rtl w:val="0"/>
        </w:rPr>
      </w:r>
    </w:p>
    <w:p w:rsidR="00000000" w:rsidDel="00000000" w:rsidP="00000000" w:rsidRDefault="00000000" w:rsidRPr="00000000" w14:paraId="000008A1">
      <w:pPr>
        <w:spacing w:after="240" w:before="240" w:lineRule="auto"/>
        <w:jc w:val="both"/>
        <w:rPr/>
      </w:pPr>
      <w:r w:rsidDel="00000000" w:rsidR="00000000" w:rsidRPr="00000000">
        <w:rPr>
          <w:rtl w:val="0"/>
        </w:rPr>
        <w:t xml:space="preserve">To validate the proposed antecedents and consequences of AUT, a rigorous measurement model assessment was conducted using PLS-SEM. This process ensured construct reliability, convergent validity, and discriminant validity—the foundational requirements for structural model integrity.</w:t>
      </w:r>
    </w:p>
    <w:p w:rsidR="00000000" w:rsidDel="00000000" w:rsidP="00000000" w:rsidRDefault="00000000" w:rsidRPr="00000000" w14:paraId="000008A2">
      <w:pPr>
        <w:spacing w:after="240" w:before="240" w:lineRule="auto"/>
        <w:jc w:val="both"/>
        <w:rPr/>
      </w:pPr>
      <w:r w:rsidDel="00000000" w:rsidR="00000000" w:rsidRPr="00000000">
        <w:rPr>
          <w:rtl w:val="0"/>
        </w:rPr>
        <w:t xml:space="preserve">All constructs demonstrated strong internal consistency, with composite reliability (ρc) values exceeding the 0.70 threshold (Hair et al., 2019). Values ranged from 0.792 (Effort Expectancy, EE) to 0.945 (Facilitating Conditions, FC), confirming the robustness of the latent variables. Similarly, Average Variance Extracted (AVE) values exceeded 0.50 across all constructs, establishing convergent validity.</w:t>
      </w:r>
    </w:p>
    <w:p w:rsidR="00000000" w:rsidDel="00000000" w:rsidP="00000000" w:rsidRDefault="00000000" w:rsidRPr="00000000" w14:paraId="000008A3">
      <w:pPr>
        <w:spacing w:after="240" w:before="240" w:lineRule="auto"/>
        <w:jc w:val="both"/>
        <w:rPr/>
      </w:pPr>
      <w:r w:rsidDel="00000000" w:rsidR="00000000" w:rsidRPr="00000000">
        <w:rPr>
          <w:rtl w:val="0"/>
        </w:rPr>
        <w:t xml:space="preserve">Key constructs—Behavioral Intention (BI), Technology Credibility (TC), and Perceived Risk (PR)—showed particularly high levels of both reliability and conceptual precision, reflecting their strong influence within the model. Although a few items (e.g., EE1, PE4, TC1) had factor loadings slightly below 0.70, they were retained due to their theoretical relevance and their non-detrimental impact on AVE and composite reliability, in line with Hair et al. (2019).</w:t>
      </w:r>
    </w:p>
    <w:p w:rsidR="00000000" w:rsidDel="00000000" w:rsidP="00000000" w:rsidRDefault="00000000" w:rsidRPr="00000000" w14:paraId="000008A4">
      <w:pPr>
        <w:spacing w:after="240" w:before="240" w:lineRule="auto"/>
        <w:jc w:val="both"/>
        <w:rPr/>
      </w:pPr>
      <w:r w:rsidDel="00000000" w:rsidR="00000000" w:rsidRPr="00000000">
        <w:rPr>
          <w:rtl w:val="0"/>
        </w:rPr>
        <w:t xml:space="preserve">Discriminant validity, assessed via the Heterotrait-Monotrait Ratio (HTMT), confirmed that all constructs were empirically distinct. Most HTMT values fell below the conservative threshold of 0.85, and even slightly higher values were theoretically justified due to conceptual overlap between enabling conditions in digital wellness adoption (Hair et al., 2017).</w:t>
      </w:r>
    </w:p>
    <w:p w:rsidR="00000000" w:rsidDel="00000000" w:rsidP="00000000" w:rsidRDefault="00000000" w:rsidRPr="00000000" w14:paraId="000008A5">
      <w:pPr>
        <w:spacing w:after="240" w:before="240" w:lineRule="auto"/>
        <w:jc w:val="both"/>
        <w:rPr/>
      </w:pPr>
      <w:r w:rsidDel="00000000" w:rsidR="00000000" w:rsidRPr="00000000">
        <w:rPr>
          <w:rtl w:val="0"/>
        </w:rPr>
        <w:t xml:space="preserve">This rigorous validation process reinforces the empirical robustness of the model and supports the proposed hypotheses. Notably, AUT emerged as a well-differentiated dependent construct, clearly influenced by a constellation of key antecedents—Behavioral Intention, Technology Credibility, Facilitating Conditions, and Health Motivation. These relationships provide a credible empirical basis for examining causal effects and configurational pathways in decentralized preventive health technology adoption.</w:t>
      </w:r>
    </w:p>
    <w:p w:rsidR="00000000" w:rsidDel="00000000" w:rsidP="00000000" w:rsidRDefault="00000000" w:rsidRPr="00000000" w14:paraId="000008A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Impact of Independent Variables (IDVs) on Actual Use of Technology (AUT)</w:t>
      </w:r>
      <w:r w:rsidDel="00000000" w:rsidR="00000000" w:rsidRPr="00000000">
        <w:rPr>
          <w:rtl w:val="0"/>
        </w:rPr>
      </w:r>
    </w:p>
    <w:p w:rsidR="00000000" w:rsidDel="00000000" w:rsidP="00000000" w:rsidRDefault="00000000" w:rsidRPr="00000000" w14:paraId="000008A7">
      <w:pPr>
        <w:spacing w:after="240" w:before="240" w:lineRule="auto"/>
        <w:jc w:val="both"/>
        <w:rPr/>
      </w:pPr>
      <w:r w:rsidDel="00000000" w:rsidR="00000000" w:rsidRPr="00000000">
        <w:rPr>
          <w:rtl w:val="0"/>
        </w:rPr>
        <w:t xml:space="preserve">The structural path modeling results revealed key insights into how various independent variables (IDVs) influence Actual Use of Technology (AUT). Among all variables, Behavioral Intention (BI) demonstrated the strongest and most consistent direct impact on AUT, confirming its central role in user engagement with wellness technologies.</w:t>
      </w:r>
    </w:p>
    <w:p w:rsidR="00000000" w:rsidDel="00000000" w:rsidP="00000000" w:rsidRDefault="00000000" w:rsidRPr="00000000" w14:paraId="000008A8">
      <w:pPr>
        <w:spacing w:after="240" w:before="240" w:lineRule="auto"/>
        <w:jc w:val="both"/>
        <w:rPr/>
      </w:pPr>
      <w:r w:rsidDel="00000000" w:rsidR="00000000" w:rsidRPr="00000000">
        <w:rPr>
          <w:rtl w:val="0"/>
        </w:rPr>
        <w:t xml:space="preserve">Technology Credibility (TC) had a significant influence on BI, but not directly on AUT. This indicates that TC affects actual usage indirectly, by enhancing users’ intent to engage with the technology. Furthermore, Facilitating Conditions (FC) emerged as a strong predictor of TC, emphasizing that accessible support systems, clear instructions, and peer/user resources enhance trust in wellness products.</w:t>
      </w:r>
    </w:p>
    <w:p w:rsidR="00000000" w:rsidDel="00000000" w:rsidP="00000000" w:rsidRDefault="00000000" w:rsidRPr="00000000" w14:paraId="000008A9">
      <w:pPr>
        <w:spacing w:after="240" w:before="240" w:lineRule="auto"/>
        <w:jc w:val="both"/>
        <w:rPr/>
      </w:pPr>
      <w:r w:rsidDel="00000000" w:rsidR="00000000" w:rsidRPr="00000000">
        <w:rPr>
          <w:rtl w:val="0"/>
        </w:rPr>
        <w:t xml:space="preserve">A significant positive relationship was also observed between Perceived Risk (PR) and TC, suggesting that trustworthiness plays a key role in managing perceived risks. Interestingly, PR also negatively impacted BI, while the interaction effect of PR × TC on BI was significant and negative, indicating that high perceived risk can weaken intention—but this effect is moderated and reduced when technology is perceived as credible.</w:t>
      </w:r>
    </w:p>
    <w:p w:rsidR="00000000" w:rsidDel="00000000" w:rsidP="00000000" w:rsidRDefault="00000000" w:rsidRPr="00000000" w14:paraId="000008AA">
      <w:pPr>
        <w:spacing w:after="240" w:before="240" w:lineRule="auto"/>
        <w:jc w:val="both"/>
        <w:rPr/>
      </w:pPr>
      <w:r w:rsidDel="00000000" w:rsidR="00000000" w:rsidRPr="00000000">
        <w:rPr>
          <w:rtl w:val="0"/>
        </w:rPr>
        <w:t xml:space="preserve">These findings provide important practical implications: brands in the wellness tech sector must actively work to build credibility, enhance transparency, and minimize perceived risks through education, social proof, and visible leadership. From a theoretical standpoint, this study extends the TAM and UTAUT frameworks by incorporating TC and PR as critical constructs in non-institutional, consumer-driven health contexts.</w:t>
      </w:r>
    </w:p>
    <w:p w:rsidR="00000000" w:rsidDel="00000000" w:rsidP="00000000" w:rsidRDefault="00000000" w:rsidRPr="00000000" w14:paraId="000008AB">
      <w:pPr>
        <w:spacing w:after="240" w:before="240" w:lineRule="auto"/>
        <w:jc w:val="both"/>
        <w:rPr/>
      </w:pPr>
      <w:r w:rsidDel="00000000" w:rsidR="00000000" w:rsidRPr="00000000">
        <w:rPr>
          <w:rtl w:val="0"/>
        </w:rPr>
        <w:t xml:space="preserve">In sum, the results highlight that in decentralized wellness ecosystems, consumer trust, perceived credibility, and risk management are as essential as traditional factors like usefulness and ease of use. Developers and marketers must prioritize clear messaging, authentic branding, and ongoing trust-building to support technology adoption and sustained engagement.</w:t>
      </w:r>
    </w:p>
    <w:p w:rsidR="00000000" w:rsidDel="00000000" w:rsidP="00000000" w:rsidRDefault="00000000" w:rsidRPr="00000000" w14:paraId="000008AC">
      <w:pPr>
        <w:keepNext w:val="0"/>
        <w:keepLines w:val="0"/>
        <w:pageBreakBefore w:val="0"/>
        <w:widowControl w:val="1"/>
        <w:numPr>
          <w:ilvl w:val="1"/>
          <w:numId w:val="23"/>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b w:val="1"/>
          <w:rtl w:val="0"/>
        </w:rPr>
        <w:t xml:space="preserve">fsQCA Analysis and Configurational Insights</w:t>
      </w:r>
      <w:r w:rsidDel="00000000" w:rsidR="00000000" w:rsidRPr="00000000">
        <w:rPr>
          <w:rtl w:val="0"/>
        </w:rPr>
      </w:r>
    </w:p>
    <w:p w:rsidR="00000000" w:rsidDel="00000000" w:rsidP="00000000" w:rsidRDefault="00000000" w:rsidRPr="00000000" w14:paraId="000008AD">
      <w:pPr>
        <w:spacing w:after="240" w:before="240" w:lineRule="auto"/>
        <w:jc w:val="both"/>
        <w:rPr/>
      </w:pPr>
      <w:r w:rsidDel="00000000" w:rsidR="00000000" w:rsidRPr="00000000">
        <w:rPr>
          <w:rtl w:val="0"/>
        </w:rPr>
        <w:t xml:space="preserve">To complement the linear insights derived from PLS-SEM, fuzzy-set Qualitative Comparative Analysis (fsQCA) was employed to examine configurational and non-linear relationships between constructs and Actual Use of Technology (AUT1). fsQCA is particularly suited for understanding multiple, equally effective paths (equifinality) and the asymmetry of user behavior in wellness technology adoption (Pappas &amp; Woodside, 2021).</w:t>
      </w:r>
    </w:p>
    <w:p w:rsidR="00000000" w:rsidDel="00000000" w:rsidP="00000000" w:rsidRDefault="00000000" w:rsidRPr="00000000" w14:paraId="000008AE">
      <w:pPr>
        <w:spacing w:after="240" w:before="240" w:lineRule="auto"/>
        <w:jc w:val="both"/>
        <w:rPr/>
      </w:pPr>
      <w:r w:rsidDel="00000000" w:rsidR="00000000" w:rsidRPr="00000000">
        <w:rPr>
          <w:rtl w:val="0"/>
        </w:rPr>
        <w:t xml:space="preserve">The fsQCA intermediate solution revealed a high explanatory power, with solution coverage at 91.88% and solution consistency at 83.11%, indicating robust empirical support for the identified causal pathways.</w:t>
      </w:r>
    </w:p>
    <w:p w:rsidR="00000000" w:rsidDel="00000000" w:rsidP="00000000" w:rsidRDefault="00000000" w:rsidRPr="00000000" w14:paraId="000008AF">
      <w:pPr>
        <w:spacing w:after="240" w:before="240" w:lineRule="auto"/>
        <w:jc w:val="both"/>
        <w:rPr/>
      </w:pPr>
      <w:r w:rsidDel="00000000" w:rsidR="00000000" w:rsidRPr="00000000">
        <w:rPr>
          <w:rtl w:val="0"/>
        </w:rPr>
        <w:t xml:space="preserve">Among the top configurations:</w:t>
      </w:r>
    </w:p>
    <w:p w:rsidR="00000000" w:rsidDel="00000000" w:rsidP="00000000" w:rsidRDefault="00000000" w:rsidRPr="00000000" w14:paraId="000008B0">
      <w:pPr>
        <w:numPr>
          <w:ilvl w:val="0"/>
          <w:numId w:val="41"/>
        </w:numPr>
        <w:spacing w:after="0" w:afterAutospacing="0" w:before="240" w:lineRule="auto"/>
        <w:ind w:left="720" w:hanging="360"/>
        <w:rPr/>
      </w:pPr>
      <w:r w:rsidDel="00000000" w:rsidR="00000000" w:rsidRPr="00000000">
        <w:rPr>
          <w:rtl w:val="0"/>
        </w:rPr>
        <w:t xml:space="preserve">BI1 × EE1 × HM1 × PR1 × SI1 × TC1 (Consistency: 0.996): This complete pathway demonstrates that when behavioral intention, ease of use, health motivation, social influence, perceived risk, and technology credibility align, technology usage is virtually certain. It reflects a user profile that is highly motivated, socially validated, and trusting.</w:t>
        <w:br w:type="textWrapping"/>
      </w:r>
    </w:p>
    <w:p w:rsidR="00000000" w:rsidDel="00000000" w:rsidP="00000000" w:rsidRDefault="00000000" w:rsidRPr="00000000" w14:paraId="000008B1">
      <w:pPr>
        <w:numPr>
          <w:ilvl w:val="0"/>
          <w:numId w:val="41"/>
        </w:numPr>
        <w:spacing w:after="0" w:afterAutospacing="0" w:before="0" w:beforeAutospacing="0" w:lineRule="auto"/>
        <w:ind w:left="720" w:hanging="360"/>
        <w:rPr/>
      </w:pPr>
      <w:r w:rsidDel="00000000" w:rsidR="00000000" w:rsidRPr="00000000">
        <w:rPr>
          <w:rtl w:val="0"/>
        </w:rPr>
        <w:t xml:space="preserve">EE1 × FC1 × HM1 × PE1 × PR1 × SI1 (Consistency: 0.986): Highlights users who adopt technology when ease of use, facilitating infrastructure, and belief in performance combine with strong motivation and social support—even without explicit intention.</w:t>
        <w:br w:type="textWrapping"/>
      </w:r>
    </w:p>
    <w:p w:rsidR="00000000" w:rsidDel="00000000" w:rsidP="00000000" w:rsidRDefault="00000000" w:rsidRPr="00000000" w14:paraId="000008B2">
      <w:pPr>
        <w:numPr>
          <w:ilvl w:val="0"/>
          <w:numId w:val="41"/>
        </w:numPr>
        <w:spacing w:after="0" w:afterAutospacing="0" w:before="0" w:beforeAutospacing="0" w:lineRule="auto"/>
        <w:ind w:left="720" w:hanging="360"/>
        <w:rPr/>
      </w:pPr>
      <w:r w:rsidDel="00000000" w:rsidR="00000000" w:rsidRPr="00000000">
        <w:rPr>
          <w:rtl w:val="0"/>
        </w:rPr>
        <w:t xml:space="preserve">BI1 × EE1 × FC1 × PE1 × PR1 × SI1 (Consistency: 0.985): Emphasizes how intention paired with enabling and belief-based variables can lead to high adoption likelihood.</w:t>
        <w:br w:type="textWrapping"/>
      </w:r>
    </w:p>
    <w:p w:rsidR="00000000" w:rsidDel="00000000" w:rsidP="00000000" w:rsidRDefault="00000000" w:rsidRPr="00000000" w14:paraId="000008B3">
      <w:pPr>
        <w:numPr>
          <w:ilvl w:val="0"/>
          <w:numId w:val="41"/>
        </w:numPr>
        <w:spacing w:after="240" w:before="0" w:beforeAutospacing="0" w:lineRule="auto"/>
        <w:ind w:left="720" w:hanging="360"/>
        <w:rPr/>
      </w:pPr>
      <w:r w:rsidDel="00000000" w:rsidR="00000000" w:rsidRPr="00000000">
        <w:rPr>
          <w:rtl w:val="0"/>
        </w:rPr>
        <w:t xml:space="preserve">BI1 × FC1 × PE1 × PR1 × SI1 × TC1 (Consistency: 0.983): Suggests that users engage more confidently when trust and infrastructure reinforce belief-based adoption dynamics.</w:t>
        <w:br w:type="textWrapping"/>
      </w:r>
    </w:p>
    <w:p w:rsidR="00000000" w:rsidDel="00000000" w:rsidP="00000000" w:rsidRDefault="00000000" w:rsidRPr="00000000" w14:paraId="000008B4">
      <w:pPr>
        <w:spacing w:after="240" w:before="240" w:lineRule="auto"/>
        <w:jc w:val="both"/>
        <w:rPr/>
      </w:pPr>
      <w:r w:rsidDel="00000000" w:rsidR="00000000" w:rsidRPr="00000000">
        <w:rPr>
          <w:rtl w:val="0"/>
        </w:rPr>
        <w:t xml:space="preserve">These configurations confirm the principle of equifinality—multiple distinct paths can lead to high technology usage. Notably, no single condition was necessary on its own, but many functioned as strong enablers in combination.</w:t>
      </w:r>
    </w:p>
    <w:p w:rsidR="00000000" w:rsidDel="00000000" w:rsidP="00000000" w:rsidRDefault="00000000" w:rsidRPr="00000000" w14:paraId="000008B5">
      <w:pPr>
        <w:spacing w:after="240" w:before="240" w:lineRule="auto"/>
        <w:jc w:val="both"/>
        <w:rPr/>
      </w:pPr>
      <w:r w:rsidDel="00000000" w:rsidR="00000000" w:rsidRPr="00000000">
        <w:rPr>
          <w:rtl w:val="0"/>
        </w:rPr>
        <w:t xml:space="preserve">The coincidence table further affirmed the significance of variables like BI1, EE1, FC1, HM1, PE1, PR1, SI1, and TC1, showing high empirical frequency. This supports the idea that technology adoption in the wellness space is a multifactorial process, requiring an intersection of intention, motivation, infrastructure, and perceived trustworthiness.</w:t>
      </w:r>
    </w:p>
    <w:p w:rsidR="00000000" w:rsidDel="00000000" w:rsidP="00000000" w:rsidRDefault="00000000" w:rsidRPr="00000000" w14:paraId="000008B6">
      <w:pPr>
        <w:spacing w:after="240" w:before="240" w:lineRule="auto"/>
        <w:jc w:val="both"/>
        <w:rPr/>
      </w:pPr>
      <w:r w:rsidDel="00000000" w:rsidR="00000000" w:rsidRPr="00000000">
        <w:rPr>
          <w:rtl w:val="0"/>
        </w:rPr>
        <w:t xml:space="preserve">These findings offer practical value to platform designers and wellness entrepreneurs by illuminating multiple consumer adoption archetypes. fsQCA provides a non-linear lens to segment markets, tailor messaging, and design flexible support systems that align with the varied motivational and behavioral realities of preventive health consumers.</w:t>
      </w:r>
    </w:p>
    <w:p w:rsidR="00000000" w:rsidDel="00000000" w:rsidP="00000000" w:rsidRDefault="00000000" w:rsidRPr="00000000" w14:paraId="000008B7">
      <w:pPr>
        <w:spacing w:after="280" w:before="280" w:lineRule="auto"/>
        <w:rPr/>
      </w:pPr>
      <w:r w:rsidDel="00000000" w:rsidR="00000000" w:rsidRPr="00000000">
        <w:rPr>
          <w:b w:val="1"/>
          <w:rtl w:val="0"/>
        </w:rPr>
        <w:t xml:space="preserve">5.4</w:t>
      </w:r>
      <w:r w:rsidDel="00000000" w:rsidR="00000000" w:rsidRPr="00000000">
        <w:rPr>
          <w:rtl w:val="0"/>
        </w:rPr>
        <w:t xml:space="preserve"> </w:t>
      </w:r>
      <w:r w:rsidDel="00000000" w:rsidR="00000000" w:rsidRPr="00000000">
        <w:rPr>
          <w:b w:val="1"/>
          <w:rtl w:val="0"/>
        </w:rPr>
        <w:t xml:space="preserve">Wellness Trust Lifecycle Plus (W-TLC⁺)</w:t>
      </w:r>
      <w:r w:rsidDel="00000000" w:rsidR="00000000" w:rsidRPr="00000000">
        <w:rPr>
          <w:rtl w:val="0"/>
        </w:rPr>
        <w:t xml:space="preserve"> </w:t>
      </w:r>
      <w:r w:rsidDel="00000000" w:rsidR="00000000" w:rsidRPr="00000000">
        <w:rPr>
          <w:b w:val="1"/>
          <w:rtl w:val="0"/>
        </w:rPr>
        <w:t xml:space="preserve">Framework:</w:t>
      </w:r>
      <w:r w:rsidDel="00000000" w:rsidR="00000000" w:rsidRPr="00000000">
        <w:rPr>
          <w:rtl w:val="0"/>
        </w:rPr>
      </w:r>
    </w:p>
    <w:p w:rsidR="00000000" w:rsidDel="00000000" w:rsidP="00000000" w:rsidRDefault="00000000" w:rsidRPr="00000000" w14:paraId="000008B8">
      <w:pPr>
        <w:jc w:val="both"/>
        <w:rPr/>
      </w:pPr>
      <w:r w:rsidDel="00000000" w:rsidR="00000000" w:rsidRPr="00000000">
        <w:rPr>
          <w:rtl w:val="0"/>
        </w:rPr>
        <w:t xml:space="preserve">An important point made in this dissertation is the development of the Wellness Trust Lifecycle Plus (W-TLC⁺) framework—which is a new model that details how consumer trust builds, maintains itself, or fades in the context of unregulated or semi-regulated space for health care. While TAM (Davis, 1989), TRA (Fishbein and Ajzen, 1975), and UTAUT (Venkatesh et al, 2003) are based on the idea of standardized environments, W-TLC⁺ takes into account the trust growth in wellness ecosystems that is due to transparency, actual results, and comments from others. It lists the main milestones of the process in six stages. The model is based on exposure, curiosity, evaluation, trying something out, verification, and either an endorsement or a choice to exit, with additional embedded strategies at each stage marked “plus.” The research findings prove that emotions and perceptions about technology, interest in health, and thoughts on personal risk, along with gene and cell therapy, can influence someone’s decision to adopt or not. Trust can be built through open, moral communication, making sure the founders use testimonials from real life. As a result, W-TLC⁺ helps entrepreneurs form a solid framework and find a path to success, even with no formal regulations.</w:t>
      </w:r>
    </w:p>
    <w:p w:rsidR="00000000" w:rsidDel="00000000" w:rsidP="00000000" w:rsidRDefault="00000000" w:rsidRPr="00000000" w14:paraId="000008B9">
      <w:pPr>
        <w:jc w:val="both"/>
        <w:rPr/>
      </w:pPr>
      <w:r w:rsidDel="00000000" w:rsidR="00000000" w:rsidRPr="00000000">
        <w:rPr>
          <w:rtl w:val="0"/>
        </w:rPr>
      </w:r>
    </w:p>
    <w:p w:rsidR="00000000" w:rsidDel="00000000" w:rsidP="00000000" w:rsidRDefault="00000000" w:rsidRPr="00000000" w14:paraId="000008BA">
      <w:pPr>
        <w:jc w:val="both"/>
        <w:rPr/>
      </w:pPr>
      <w:r w:rsidDel="00000000" w:rsidR="00000000" w:rsidRPr="00000000">
        <w:rPr>
          <w:rtl w:val="0"/>
        </w:rPr>
      </w:r>
    </w:p>
    <w:p w:rsidR="00000000" w:rsidDel="00000000" w:rsidP="00000000" w:rsidRDefault="00000000" w:rsidRPr="00000000" w14:paraId="000008BB">
      <w:pPr>
        <w:rPr/>
      </w:pPr>
      <w:r w:rsidDel="00000000" w:rsidR="00000000" w:rsidRPr="00000000">
        <w:rPr>
          <w:rtl w:val="0"/>
        </w:rPr>
      </w:r>
    </w:p>
    <w:p w:rsidR="00000000" w:rsidDel="00000000" w:rsidP="00000000" w:rsidRDefault="00000000" w:rsidRPr="00000000" w14:paraId="000008BC">
      <w:pPr>
        <w:rPr>
          <w:highlight w:val="whit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8BD">
      <w:pPr>
        <w:jc w:val="both"/>
        <w:rPr>
          <w:smallCaps w:val="1"/>
          <w:color w:val="0d0d0d"/>
          <w:highlight w:val="white"/>
        </w:rPr>
      </w:pPr>
      <w:r w:rsidDel="00000000" w:rsidR="00000000" w:rsidRPr="00000000">
        <w:rPr>
          <w:rtl w:val="0"/>
        </w:rPr>
      </w:r>
    </w:p>
    <w:p w:rsidR="00000000" w:rsidDel="00000000" w:rsidP="00000000" w:rsidRDefault="00000000" w:rsidRPr="00000000" w14:paraId="000008BE">
      <w:pPr>
        <w:jc w:val="both"/>
        <w:rPr>
          <w:smallCaps w:val="1"/>
          <w:color w:val="0d0d0d"/>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8BF">
      <w:pPr>
        <w:jc w:val="center"/>
        <w:rPr>
          <w:b w:val="1"/>
          <w:smallCaps w:val="1"/>
          <w:color w:val="0d0d0d"/>
          <w:highlight w:val="white"/>
        </w:rPr>
      </w:pPr>
      <w:r w:rsidDel="00000000" w:rsidR="00000000" w:rsidRPr="00000000">
        <w:rPr>
          <w:b w:val="1"/>
          <w:smallCaps w:val="1"/>
          <w:color w:val="0d0d0d"/>
          <w:highlight w:val="white"/>
          <w:rtl w:val="0"/>
        </w:rPr>
        <w:t xml:space="preserve">CHAPTER VI:</w:t>
      </w:r>
    </w:p>
    <w:p w:rsidR="00000000" w:rsidDel="00000000" w:rsidP="00000000" w:rsidRDefault="00000000" w:rsidRPr="00000000" w14:paraId="000008C0">
      <w:pPr>
        <w:jc w:val="center"/>
        <w:rPr>
          <w:b w:val="1"/>
          <w:smallCaps w:val="1"/>
          <w:color w:val="0d0d0d"/>
          <w:highlight w:val="white"/>
        </w:rPr>
      </w:pPr>
      <w:r w:rsidDel="00000000" w:rsidR="00000000" w:rsidRPr="00000000">
        <w:rPr>
          <w:b w:val="1"/>
          <w:smallCaps w:val="1"/>
          <w:color w:val="0d0d0d"/>
          <w:highlight w:val="white"/>
          <w:rtl w:val="0"/>
        </w:rPr>
        <w:t xml:space="preserve">SUMMARY, IMPLICATIONS, AND RECOMMENDATIONS</w:t>
      </w:r>
    </w:p>
    <w:p w:rsidR="00000000" w:rsidDel="00000000" w:rsidP="00000000" w:rsidRDefault="00000000" w:rsidRPr="00000000" w14:paraId="000008C1">
      <w:pPr>
        <w:jc w:val="center"/>
        <w:rPr>
          <w:b w:val="1"/>
          <w:smallCaps w:val="1"/>
          <w:color w:val="0d0d0d"/>
          <w:highlight w:val="white"/>
        </w:rPr>
      </w:pPr>
      <w:r w:rsidDel="00000000" w:rsidR="00000000" w:rsidRPr="00000000">
        <w:rPr>
          <w:rtl w:val="0"/>
        </w:rPr>
      </w:r>
    </w:p>
    <w:p w:rsidR="00000000" w:rsidDel="00000000" w:rsidP="00000000" w:rsidRDefault="00000000" w:rsidRPr="00000000" w14:paraId="000008C2">
      <w:pPr>
        <w:rPr>
          <w:b w:val="1"/>
        </w:rPr>
      </w:pPr>
      <w:r w:rsidDel="00000000" w:rsidR="00000000" w:rsidRPr="00000000">
        <w:rPr>
          <w:b w:val="1"/>
          <w:rtl w:val="0"/>
        </w:rPr>
        <w:t xml:space="preserve">6.1 SUMMARY OF KEY FINDINGS</w:t>
      </w:r>
    </w:p>
    <w:p w:rsidR="00000000" w:rsidDel="00000000" w:rsidP="00000000" w:rsidRDefault="00000000" w:rsidRPr="00000000" w14:paraId="000008C3">
      <w:pPr>
        <w:spacing w:after="240" w:before="240" w:lineRule="auto"/>
        <w:jc w:val="both"/>
        <w:rPr/>
      </w:pPr>
      <w:r w:rsidDel="00000000" w:rsidR="00000000" w:rsidRPr="00000000">
        <w:rPr>
          <w:rtl w:val="0"/>
        </w:rPr>
        <w:t xml:space="preserve">This study explored the key drivers of actual use of preventive health technologies through a dual-method approach: Partial Least Squares Structural Equation Modeling (PLS-SEM) and Fuzzy-set Qualitative Comparative Analysis (fsQCA). Findings are organized around the study’s three main objectives, beginning with the validation of the measurement model.</w:t>
      </w:r>
    </w:p>
    <w:p w:rsidR="00000000" w:rsidDel="00000000" w:rsidP="00000000" w:rsidRDefault="00000000" w:rsidRPr="00000000" w14:paraId="000008C4">
      <w:pPr>
        <w:spacing w:after="240" w:before="240" w:lineRule="auto"/>
        <w:jc w:val="both"/>
        <w:rPr/>
      </w:pPr>
      <w:r w:rsidDel="00000000" w:rsidR="00000000" w:rsidRPr="00000000">
        <w:rPr>
          <w:rtl w:val="0"/>
        </w:rPr>
        <w:t xml:space="preserve">All constructs in the proposed model demonstrated strong reliability and validity. Each construct exceeded the 0.70 threshold for Composite Reliability and Cronbach’s Alpha, and achieved Average Variance Extracted (AVE) values above 0.50. Constructs such as Performance Expectancy (PE), Effort Expectancy (EE), Health Motivation (HM), Technology Credibility (TC), and Behavioral Intention (BI) displayed particularly strong outer loadings, reinforcing the robustness of the measurement framework.</w:t>
      </w:r>
    </w:p>
    <w:p w:rsidR="00000000" w:rsidDel="00000000" w:rsidP="00000000" w:rsidRDefault="00000000" w:rsidRPr="00000000" w14:paraId="000008C5">
      <w:pPr>
        <w:spacing w:after="240" w:before="240" w:lineRule="auto"/>
        <w:jc w:val="both"/>
        <w:rPr/>
      </w:pPr>
      <w:r w:rsidDel="00000000" w:rsidR="00000000" w:rsidRPr="00000000">
        <w:rPr>
          <w:rtl w:val="0"/>
        </w:rPr>
        <w:t xml:space="preserve">PLS-SEM results revealed significant linear relationships between the independent variables and actual use (AUT). Behavioral Intention (BI) emerged as the strongest and most consistent predictor of AUT, serving as a critical mediator in the adoption process. Technology Credibility (TC) indirectly influenced actual use through its positive impact on BI. Facilitating Conditions (FC) were found to significantly enhance perceptions of TC, suggesting that ease of access, support resources, and platform reliability play important roles in building trust.</w:t>
      </w:r>
    </w:p>
    <w:p w:rsidR="00000000" w:rsidDel="00000000" w:rsidP="00000000" w:rsidRDefault="00000000" w:rsidRPr="00000000" w14:paraId="000008C6">
      <w:pPr>
        <w:spacing w:after="240" w:before="240" w:lineRule="auto"/>
        <w:jc w:val="both"/>
        <w:rPr/>
      </w:pPr>
      <w:r w:rsidDel="00000000" w:rsidR="00000000" w:rsidRPr="00000000">
        <w:rPr>
          <w:rtl w:val="0"/>
        </w:rPr>
        <w:t xml:space="preserve">Perceived Risk (PR) exhibited a nuanced influence: while it positively influenced BI under certain conditions (e.g., when users sought efficacy), it also undermined TC when trust signals were weak. Interestingly, Social Influence (SI) was found to negatively impact TC—contradicting the expectations of traditional frameworks such as UTAUT (Venkatesh et al., 2003). This suggests that in wellness domains, excessive peer persuasion or influencer marketing without credible information may reduce perceived authenticity.</w:t>
      </w:r>
    </w:p>
    <w:p w:rsidR="00000000" w:rsidDel="00000000" w:rsidP="00000000" w:rsidRDefault="00000000" w:rsidRPr="00000000" w14:paraId="000008C7">
      <w:pPr>
        <w:spacing w:after="240" w:before="240" w:lineRule="auto"/>
        <w:jc w:val="both"/>
        <w:rPr/>
      </w:pPr>
      <w:r w:rsidDel="00000000" w:rsidR="00000000" w:rsidRPr="00000000">
        <w:rPr>
          <w:rtl w:val="0"/>
        </w:rPr>
        <w:t xml:space="preserve">The fsQCA analysis revealed important configurational and non-linear insights not captured by PLS-SEM. Multiple unique causal paths were identified as sufficient for high actual use, reinforcing the concept of </w:t>
      </w:r>
      <w:r w:rsidDel="00000000" w:rsidR="00000000" w:rsidRPr="00000000">
        <w:rPr>
          <w:i w:val="1"/>
          <w:rtl w:val="0"/>
        </w:rPr>
        <w:t xml:space="preserve">equifinality</w:t>
      </w:r>
      <w:r w:rsidDel="00000000" w:rsidR="00000000" w:rsidRPr="00000000">
        <w:rPr>
          <w:rtl w:val="0"/>
        </w:rPr>
        <w:t xml:space="preserve">—that different users arrive at adoption through different combinations of conditions. For instance, the configuration BI1FC1PE1PR1SI1TC1 represented a complete trust-and-intent-based pathway, while EE1FC1PE1PI1PR1SI1 showed that even without strong BI, adoption can occur when usability, innovation, and contextual support are high.</w:t>
      </w:r>
    </w:p>
    <w:p w:rsidR="00000000" w:rsidDel="00000000" w:rsidP="00000000" w:rsidRDefault="00000000" w:rsidRPr="00000000" w14:paraId="000008C8">
      <w:pPr>
        <w:spacing w:after="240" w:before="240" w:lineRule="auto"/>
        <w:jc w:val="both"/>
        <w:rPr/>
      </w:pPr>
      <w:r w:rsidDel="00000000" w:rsidR="00000000" w:rsidRPr="00000000">
        <w:rPr>
          <w:rtl w:val="0"/>
        </w:rPr>
        <w:t xml:space="preserve">No single factor was found to be necessary across all pathways. However, PR, BI, and TC consistently appeared in high-consistency configurations, emphasizing their critical enabling roles in the real-world adoption of preventive health technologies.</w:t>
      </w:r>
    </w:p>
    <w:p w:rsidR="00000000" w:rsidDel="00000000" w:rsidP="00000000" w:rsidRDefault="00000000" w:rsidRPr="00000000" w14:paraId="000008C9">
      <w:pPr>
        <w:spacing w:after="240" w:before="240" w:lineRule="auto"/>
        <w:jc w:val="both"/>
        <w:rPr/>
      </w:pPr>
      <w:r w:rsidDel="00000000" w:rsidR="00000000" w:rsidRPr="00000000">
        <w:rPr>
          <w:rtl w:val="0"/>
        </w:rPr>
        <w:t xml:space="preserve">Beyond the quantitative findings, a major theoretical contribution of this study is the introduction of the Wellness Trust Lifecycle Plus (W-TLC+) framework. Unlike traditional models such as TAM, TRA, or UTAUT—which presume regulated environments—W-TLC+ addresses how trust forms and evolves in decentralized, low-trust, and consumer-driven wellness ecosystems. It identifies six sequential stages—Exposure, Curiosity, Evaluation, Trial, Verification, and Endorsement or Exit—that describe the consumer trust journey. The “Plus” component introduces actionable strategies for entrepreneurs to build and retain trust through transparent communication, authentic testimonials, and credibility signaling. W-TLC+ was derived inductively from both statistical data and behavioral insights, grounding it in real-world user experience.</w:t>
      </w:r>
    </w:p>
    <w:p w:rsidR="00000000" w:rsidDel="00000000" w:rsidP="00000000" w:rsidRDefault="00000000" w:rsidRPr="00000000" w14:paraId="000008CA">
      <w:pPr>
        <w:spacing w:after="240" w:before="240" w:lineRule="auto"/>
        <w:jc w:val="both"/>
        <w:rPr/>
      </w:pPr>
      <w:r w:rsidDel="00000000" w:rsidR="00000000" w:rsidRPr="00000000">
        <w:rPr>
          <w:rtl w:val="0"/>
        </w:rPr>
        <w:t xml:space="preserve">In summary, this research advances both theory and methodology in the domain of preventive health technology adoption. PLS-SEM confirmed the structural relationships among trust, usability, and behavioral intention, while fsQCA revealed diverse pathways to adoption that reflect real-world complexity. The study confirms that BI remains a key predictor of use, but trust (TC), contextual enablers (FC), and motivational traits (HM, PI) are equally vital in decentralized wellness contexts. These insights offer practical value for technology designers, policy makers, and entrepreneurs seeking to improve the uptake and sustained use of at-home health technologies.</w:t>
      </w:r>
    </w:p>
    <w:p w:rsidR="00000000" w:rsidDel="00000000" w:rsidP="00000000" w:rsidRDefault="00000000" w:rsidRPr="00000000" w14:paraId="000008CB">
      <w:pPr>
        <w:jc w:val="both"/>
        <w:rPr/>
      </w:pPr>
      <w:r w:rsidDel="00000000" w:rsidR="00000000" w:rsidRPr="00000000">
        <w:rPr>
          <w:rtl w:val="0"/>
        </w:rPr>
      </w:r>
    </w:p>
    <w:p w:rsidR="00000000" w:rsidDel="00000000" w:rsidP="00000000" w:rsidRDefault="00000000" w:rsidRPr="00000000" w14:paraId="000008CC">
      <w:pPr>
        <w:rPr>
          <w:b w:val="1"/>
        </w:rPr>
      </w:pPr>
      <w:r w:rsidDel="00000000" w:rsidR="00000000" w:rsidRPr="00000000">
        <w:rPr>
          <w:b w:val="1"/>
          <w:rtl w:val="0"/>
        </w:rPr>
        <w:t xml:space="preserve">6.2 THEORETICAL IMPLICATIONS</w:t>
        <w:br w:type="textWrapping"/>
      </w:r>
    </w:p>
    <w:p w:rsidR="00000000" w:rsidDel="00000000" w:rsidP="00000000" w:rsidRDefault="00000000" w:rsidRPr="00000000" w14:paraId="000008CD">
      <w:pPr>
        <w:rPr/>
      </w:pPr>
      <w:r w:rsidDel="00000000" w:rsidR="00000000" w:rsidRPr="00000000">
        <w:rPr>
          <w:rtl w:val="0"/>
        </w:rPr>
        <w:t xml:space="preserve">This study contributes to the theoretical understanding of preventive health technology adoption by extending established models—TAM (Davis, 1989), UTAUT (Venkatesh et al., 2003), and TRA (Fishbein and Ajzen, 1975)—with constructs and configurations more relevant to decentralized, consumer-facing wellness technologies. By integrating additional constructs such as Technology Credibility (TC), Perceived Risk (PR), Health Motivation (HM), and Personal Innovativeness (PI), this study provides a richer and more behaviorally accurate view of how people make health-related technology choices outside institutional environments.</w:t>
      </w:r>
    </w:p>
    <w:p w:rsidR="00000000" w:rsidDel="00000000" w:rsidP="00000000" w:rsidRDefault="00000000" w:rsidRPr="00000000" w14:paraId="000008CE">
      <w:pPr>
        <w:spacing w:after="240" w:before="240" w:lineRule="auto"/>
        <w:jc w:val="both"/>
        <w:rPr/>
      </w:pPr>
      <w:r w:rsidDel="00000000" w:rsidR="00000000" w:rsidRPr="00000000">
        <w:rPr>
          <w:rtl w:val="0"/>
        </w:rPr>
        <w:t xml:space="preserve">First, consistent with TAM and UTAUT, Behavioral Intention (BI) emerged as the strongest predictor of Actual Use (AUT), reaffirming its central role. However, this study deepens the understanding by showing that BI is heavily influenced by TC and PR—constructs that reflect user concerns about legitimacy, safety, and reliability in the absence of formal validation. This insight is particularly relevant to at-home health technologies, which often lack medical oversight.</w:t>
      </w:r>
    </w:p>
    <w:p w:rsidR="00000000" w:rsidDel="00000000" w:rsidP="00000000" w:rsidRDefault="00000000" w:rsidRPr="00000000" w14:paraId="000008CF">
      <w:pPr>
        <w:spacing w:after="240" w:before="240" w:lineRule="auto"/>
        <w:jc w:val="both"/>
        <w:rPr/>
      </w:pPr>
      <w:r w:rsidDel="00000000" w:rsidR="00000000" w:rsidRPr="00000000">
        <w:rPr>
          <w:rtl w:val="0"/>
        </w:rPr>
        <w:t xml:space="preserve">Second, PR showed a dual role—heightening scrutiny but reducing trust when credibility signals were weak. This highlights a conceptual gap in prior models, which tend to treat risk as a linear inhibitor, rather than as a nuanced moderator of intention and trust. Similarly, the addition of HM and PI reflects a shift toward user-centric personalization, where values, self-determination, and openness to innovation guide adoption behavior.</w:t>
      </w:r>
    </w:p>
    <w:p w:rsidR="00000000" w:rsidDel="00000000" w:rsidP="00000000" w:rsidRDefault="00000000" w:rsidRPr="00000000" w14:paraId="000008D0">
      <w:pPr>
        <w:spacing w:after="240" w:before="240" w:lineRule="auto"/>
        <w:jc w:val="both"/>
        <w:rPr/>
      </w:pPr>
      <w:r w:rsidDel="00000000" w:rsidR="00000000" w:rsidRPr="00000000">
        <w:rPr>
          <w:rtl w:val="0"/>
        </w:rPr>
        <w:t xml:space="preserve">Third, Social Influence (SI) was shown to reduce trust when driven by unverified or influencer-led persuasion. This contrasts with the UTAUT assumption that SI universally enhances intention. In wellness domains, where misinformation and hype are common, SI may actually generate skepticism unless paired with trustworthy infrastructure and evidence.</w:t>
      </w:r>
    </w:p>
    <w:p w:rsidR="00000000" w:rsidDel="00000000" w:rsidP="00000000" w:rsidRDefault="00000000" w:rsidRPr="00000000" w14:paraId="000008D1">
      <w:pPr>
        <w:spacing w:after="240" w:before="240" w:lineRule="auto"/>
        <w:jc w:val="both"/>
        <w:rPr/>
      </w:pPr>
      <w:r w:rsidDel="00000000" w:rsidR="00000000" w:rsidRPr="00000000">
        <w:rPr>
          <w:rtl w:val="0"/>
        </w:rPr>
        <w:t xml:space="preserve">Fourth, by using both PLS-SEM and fsQCA, this study brings configurational thinking into a traditionally linear field. fsQCA showed that no single antecedent is necessary; rather, various combinations—"causal recipes"—can lead to adoption. This reflects the equifinality of technology adoption: different users arrive at the same behavior via different pathways, depending on psychological, contextual, and structural factors.</w:t>
      </w:r>
    </w:p>
    <w:p w:rsidR="00000000" w:rsidDel="00000000" w:rsidP="00000000" w:rsidRDefault="00000000" w:rsidRPr="00000000" w14:paraId="000008D2">
      <w:pPr>
        <w:spacing w:after="240" w:before="240" w:lineRule="auto"/>
        <w:jc w:val="both"/>
        <w:rPr/>
      </w:pPr>
      <w:r w:rsidDel="00000000" w:rsidR="00000000" w:rsidRPr="00000000">
        <w:rPr>
          <w:rtl w:val="0"/>
        </w:rPr>
        <w:t xml:space="preserve">Finally, this research introduces the Wellness Trust Lifecycle Plus (W-TLC+) framework, which represents a conceptual breakthrough in modeling trust formation in unregulated wellness markets. Unlike traditional models, W-TLC+ reflects the dynamic, phased process of how trust is built, eroded, or maintained over time in consumer settings lacking institutional anchors. It outlines six stages—Exposure, Curiosity, Evaluation, Trial, Verification, and Endorsement/Exit—with each phase linked to specific trust-building actions. The “Plus” signifies embedded strategies (e.g., founder visibility, testimonial authenticity, transparent communication) that entrepreneurs can use to influence trust at each phase.</w:t>
      </w:r>
    </w:p>
    <w:p w:rsidR="00000000" w:rsidDel="00000000" w:rsidP="00000000" w:rsidRDefault="00000000" w:rsidRPr="00000000" w14:paraId="000008D3">
      <w:pPr>
        <w:spacing w:after="240" w:before="240" w:lineRule="auto"/>
        <w:jc w:val="both"/>
        <w:rPr/>
      </w:pPr>
      <w:r w:rsidDel="00000000" w:rsidR="00000000" w:rsidRPr="00000000">
        <w:rPr>
          <w:rtl w:val="0"/>
        </w:rPr>
        <w:t xml:space="preserve">Empirically supported by both SEM and fsQCA, W-TLC+ serves as a dual-purpose framework: (1) a diagnostic tool for identifying trust inflection points in the user journey, and (2) a strategic roadmap for designing credible, high-retention wellness ventures in low-trust environments. For researchers, it offers a more realistic trust-based progression model. For practitioners, it offers actionable guidance on how to move users from exposure to endorsement—or understand why they exit.</w:t>
      </w:r>
    </w:p>
    <w:p w:rsidR="00000000" w:rsidDel="00000000" w:rsidP="00000000" w:rsidRDefault="00000000" w:rsidRPr="00000000" w14:paraId="000008D4">
      <w:pPr>
        <w:spacing w:after="240" w:before="240" w:lineRule="auto"/>
        <w:jc w:val="both"/>
        <w:rPr/>
      </w:pPr>
      <w:r w:rsidDel="00000000" w:rsidR="00000000" w:rsidRPr="00000000">
        <w:rPr>
          <w:rtl w:val="0"/>
        </w:rPr>
        <w:t xml:space="preserve">In sum, the study extends classical models into real-world, high-noise wellness contexts and delivers a theoretically robust, practically grounded contribution. W-TLC+ fills a longstanding gap in the technology adoption literature by anchoring trust as a dynamic, staged, and strategically influenceable process in emerging health ecosystems.</w:t>
      </w:r>
    </w:p>
    <w:p w:rsidR="00000000" w:rsidDel="00000000" w:rsidP="00000000" w:rsidRDefault="00000000" w:rsidRPr="00000000" w14:paraId="000008D5">
      <w:pPr>
        <w:spacing w:after="280" w:before="280" w:lineRule="auto"/>
        <w:jc w:val="both"/>
        <w:rPr/>
      </w:pPr>
      <w:r w:rsidDel="00000000" w:rsidR="00000000" w:rsidRPr="00000000">
        <w:rPr>
          <w:rtl w:val="0"/>
        </w:rPr>
      </w:r>
    </w:p>
    <w:p w:rsidR="00000000" w:rsidDel="00000000" w:rsidP="00000000" w:rsidRDefault="00000000" w:rsidRPr="00000000" w14:paraId="000008D6">
      <w:pPr>
        <w:rPr>
          <w:b w:val="1"/>
        </w:rPr>
      </w:pPr>
      <w:r w:rsidDel="00000000" w:rsidR="00000000" w:rsidRPr="00000000">
        <w:rPr>
          <w:b w:val="1"/>
          <w:rtl w:val="0"/>
        </w:rPr>
        <w:t xml:space="preserve">6.3 PRACTICAL IMPLICATIONS</w:t>
      </w:r>
    </w:p>
    <w:p w:rsidR="00000000" w:rsidDel="00000000" w:rsidP="00000000" w:rsidRDefault="00000000" w:rsidRPr="00000000" w14:paraId="000008D7">
      <w:pPr>
        <w:spacing w:after="240" w:before="240" w:lineRule="auto"/>
        <w:jc w:val="both"/>
        <w:rPr/>
      </w:pPr>
      <w:r w:rsidDel="00000000" w:rsidR="00000000" w:rsidRPr="00000000">
        <w:rPr>
          <w:rtl w:val="0"/>
        </w:rPr>
        <w:t xml:space="preserve">This study provides several actionable recommendations for key stakeholders in the digital health ecosystem, including entrepreneurs, developers, policymakers, and wellness consumers. By combining behavioral intention models with credibility, motivation, perceived risk, and configurational logic, the study explains the real-world dynamics behind the actual use of at-home wellness technologies.</w:t>
      </w:r>
    </w:p>
    <w:p w:rsidR="00000000" w:rsidDel="00000000" w:rsidP="00000000" w:rsidRDefault="00000000" w:rsidRPr="00000000" w14:paraId="000008D8">
      <w:pPr>
        <w:spacing w:after="240" w:before="240" w:lineRule="auto"/>
        <w:jc w:val="both"/>
        <w:rPr/>
      </w:pPr>
      <w:r w:rsidDel="00000000" w:rsidR="00000000" w:rsidRPr="00000000">
        <w:rPr>
          <w:rtl w:val="0"/>
        </w:rPr>
        <w:t xml:space="preserve">For healthtech entrepreneurs and product developers, the results emphasize that Technology Credibility (TC) plays a central role in driving both intention and actual usage. To gain traction in low-trust markets, startups must build trust through transparent communication, ethical brand behavior, expert endorsement, privacy certifications, and reliable performance. Merely offering innovative features is insufficient; adoption depends on creating an ecosystem that is trustworthy, user-friendly, motivational, and emotionally resonant.</w:t>
      </w:r>
    </w:p>
    <w:p w:rsidR="00000000" w:rsidDel="00000000" w:rsidP="00000000" w:rsidRDefault="00000000" w:rsidRPr="00000000" w14:paraId="000008D9">
      <w:pPr>
        <w:spacing w:after="240" w:before="240" w:lineRule="auto"/>
        <w:jc w:val="both"/>
        <w:rPr/>
      </w:pPr>
      <w:r w:rsidDel="00000000" w:rsidR="00000000" w:rsidRPr="00000000">
        <w:rPr>
          <w:rtl w:val="0"/>
        </w:rPr>
        <w:t xml:space="preserve">Features that align with Health Motivation (HM)—such as goal tracking, personalized feedback, and longevity-focused education—can increase relevance and engagement. Importantly, fsQCA results show that even when behavioral intention is weak, strong combinations of innovation and enabling context can still lead to adoption. This suggests a strategic opportunity for developers to build multiple trust-building pathways that serve diverse user profiles.</w:t>
      </w:r>
    </w:p>
    <w:p w:rsidR="00000000" w:rsidDel="00000000" w:rsidP="00000000" w:rsidRDefault="00000000" w:rsidRPr="00000000" w14:paraId="000008DA">
      <w:pPr>
        <w:spacing w:after="240" w:before="240" w:lineRule="auto"/>
        <w:jc w:val="both"/>
        <w:rPr/>
      </w:pPr>
      <w:r w:rsidDel="00000000" w:rsidR="00000000" w:rsidRPr="00000000">
        <w:rPr>
          <w:rtl w:val="0"/>
        </w:rPr>
        <w:t xml:space="preserve">For policymakers and digital health regulators, the findings highlight the importance of going beyond access and focusing on trust, support, and perceived risk reduction (PR). Regulators should prioritize data security, user privacy, and digital literacy initiatives. Public–private partnerships may help expand infrastructure, customer support, and education—especially for underserved or skeptical populations.</w:t>
      </w:r>
    </w:p>
    <w:p w:rsidR="00000000" w:rsidDel="00000000" w:rsidP="00000000" w:rsidRDefault="00000000" w:rsidRPr="00000000" w14:paraId="000008DB">
      <w:pPr>
        <w:spacing w:after="240" w:before="240" w:lineRule="auto"/>
        <w:jc w:val="both"/>
        <w:rPr/>
      </w:pPr>
      <w:r w:rsidDel="00000000" w:rsidR="00000000" w:rsidRPr="00000000">
        <w:rPr>
          <w:rtl w:val="0"/>
        </w:rPr>
        <w:t xml:space="preserve">In unregulated or semi-regulated wellness spaces, policy support that encourages credible certification systems, ethical advertising practices, and cross-platform consistency can greatly reduce misinformation and increase consumer confidence. The study’s fsQCA analysis also shows that user adoption depends on distinct configurations of needs, not one-size-fits-all solutions—underscoring the value of flexible and personalized regulation frameworks.</w:t>
      </w:r>
    </w:p>
    <w:p w:rsidR="00000000" w:rsidDel="00000000" w:rsidP="00000000" w:rsidRDefault="00000000" w:rsidRPr="00000000" w14:paraId="000008DC">
      <w:pPr>
        <w:spacing w:after="240" w:before="240" w:lineRule="auto"/>
        <w:jc w:val="both"/>
        <w:rPr/>
      </w:pPr>
      <w:r w:rsidDel="00000000" w:rsidR="00000000" w:rsidRPr="00000000">
        <w:rPr>
          <w:rtl w:val="0"/>
        </w:rPr>
        <w:t xml:space="preserve">For wellness-conscious consumers, personal traits such as Health Motivation (HM), Personal Innovativeness (PI), and Effort Expectancy (EE) emerge as key drivers. Consumers are advised to evaluate technology based not only on its features but also on who is behind the product, how data is handled, and what kind of community or credibility signals it presents. The configurational insights indicate that even hesitant users can be encouraged through favorable environments, peer reinforcement, and transparent brand behavior.</w:t>
      </w:r>
    </w:p>
    <w:p w:rsidR="00000000" w:rsidDel="00000000" w:rsidP="00000000" w:rsidRDefault="00000000" w:rsidRPr="00000000" w14:paraId="000008DD">
      <w:pPr>
        <w:spacing w:after="240" w:before="240" w:lineRule="auto"/>
        <w:jc w:val="both"/>
        <w:rPr/>
      </w:pPr>
      <w:r w:rsidDel="00000000" w:rsidR="00000000" w:rsidRPr="00000000">
        <w:rPr>
          <w:rtl w:val="0"/>
        </w:rPr>
        <w:t xml:space="preserve">W-TLC+ as a Practical Guide for Stakeholders</w:t>
      </w:r>
    </w:p>
    <w:p w:rsidR="00000000" w:rsidDel="00000000" w:rsidP="00000000" w:rsidRDefault="00000000" w:rsidRPr="00000000" w14:paraId="000008DE">
      <w:pPr>
        <w:spacing w:after="240" w:before="240" w:lineRule="auto"/>
        <w:jc w:val="both"/>
        <w:rPr/>
      </w:pPr>
      <w:r w:rsidDel="00000000" w:rsidR="00000000" w:rsidRPr="00000000">
        <w:rPr>
          <w:rtl w:val="0"/>
        </w:rPr>
        <w:t xml:space="preserve">This research also supports the Wellness Trust Lifecycle Plus (W-TLC+) framework, which illustrates that adoption is not a one-step act but a trust-building journey with multiple phases—from Exposure to Endorsement or Exit. Stakeholders can use W-TLC⁺ to map the emotional and cognitive inflection points in this journey, tailoring interventions accordingly.</w:t>
      </w:r>
    </w:p>
    <w:p w:rsidR="00000000" w:rsidDel="00000000" w:rsidP="00000000" w:rsidRDefault="00000000" w:rsidRPr="00000000" w14:paraId="000008DF">
      <w:pPr>
        <w:numPr>
          <w:ilvl w:val="0"/>
          <w:numId w:val="11"/>
        </w:numPr>
        <w:spacing w:after="0" w:afterAutospacing="0" w:before="240" w:lineRule="auto"/>
        <w:ind w:left="720" w:hanging="360"/>
        <w:rPr/>
      </w:pPr>
      <w:r w:rsidDel="00000000" w:rsidR="00000000" w:rsidRPr="00000000">
        <w:rPr>
          <w:rtl w:val="0"/>
        </w:rPr>
        <w:t xml:space="preserve">For entrepreneurs, this means embedding strategies like founder visibility, user education, and testimonial authenticity at the right phase of the lifecycle.</w:t>
        <w:br w:type="textWrapping"/>
      </w:r>
    </w:p>
    <w:p w:rsidR="00000000" w:rsidDel="00000000" w:rsidP="00000000" w:rsidRDefault="00000000" w:rsidRPr="00000000" w14:paraId="000008E0">
      <w:pPr>
        <w:numPr>
          <w:ilvl w:val="0"/>
          <w:numId w:val="11"/>
        </w:numPr>
        <w:spacing w:after="0" w:afterAutospacing="0" w:before="0" w:beforeAutospacing="0" w:lineRule="auto"/>
        <w:ind w:left="720" w:hanging="360"/>
        <w:rPr/>
      </w:pPr>
      <w:r w:rsidDel="00000000" w:rsidR="00000000" w:rsidRPr="00000000">
        <w:rPr>
          <w:rtl w:val="0"/>
        </w:rPr>
        <w:t xml:space="preserve">For regulators, it means supporting platforms that offer transparency and ethical design as part of the trust lifecycle.</w:t>
        <w:br w:type="textWrapping"/>
      </w:r>
    </w:p>
    <w:p w:rsidR="00000000" w:rsidDel="00000000" w:rsidP="00000000" w:rsidRDefault="00000000" w:rsidRPr="00000000" w14:paraId="000008E1">
      <w:pPr>
        <w:numPr>
          <w:ilvl w:val="0"/>
          <w:numId w:val="11"/>
        </w:numPr>
        <w:spacing w:after="240" w:before="0" w:beforeAutospacing="0" w:lineRule="auto"/>
        <w:ind w:left="720" w:hanging="360"/>
        <w:rPr/>
      </w:pPr>
      <w:r w:rsidDel="00000000" w:rsidR="00000000" w:rsidRPr="00000000">
        <w:rPr>
          <w:rtl w:val="0"/>
        </w:rPr>
        <w:t xml:space="preserve">For consumers, it means recognizing when they are in the trial, verification, or endorsement phase—and knowing what trust signals to seek.</w:t>
      </w:r>
    </w:p>
    <w:p w:rsidR="00000000" w:rsidDel="00000000" w:rsidP="00000000" w:rsidRDefault="00000000" w:rsidRPr="00000000" w14:paraId="000008E2">
      <w:pPr>
        <w:spacing w:after="240" w:before="240" w:lineRule="auto"/>
        <w:jc w:val="both"/>
        <w:rPr/>
      </w:pPr>
      <w:r w:rsidDel="00000000" w:rsidR="00000000" w:rsidRPr="00000000">
        <w:rPr>
          <w:rtl w:val="0"/>
        </w:rPr>
        <w:t xml:space="preserve">In summary, the practical value of this study lies in showing that adoption is a relationship, not a transaction. Trust, motivation, context, and social proof are dynamic variables that evolve over time. By using the conceptual model and W-TLC⁺ framework, practitioners can better engage users, tailor offerings, and ethically scale health innovations in diverse and decentralized markets.</w:t>
      </w:r>
      <w:r w:rsidDel="00000000" w:rsidR="00000000" w:rsidRPr="00000000">
        <w:rPr>
          <w:rtl w:val="0"/>
        </w:rPr>
      </w:r>
    </w:p>
    <w:p w:rsidR="00000000" w:rsidDel="00000000" w:rsidP="00000000" w:rsidRDefault="00000000" w:rsidRPr="00000000" w14:paraId="000008E3">
      <w:pPr>
        <w:rPr>
          <w:b w:val="1"/>
          <w:color w:val="000000"/>
        </w:rPr>
      </w:pPr>
      <w:r w:rsidDel="00000000" w:rsidR="00000000" w:rsidRPr="00000000">
        <w:rPr>
          <w:rtl w:val="0"/>
        </w:rPr>
      </w:r>
    </w:p>
    <w:p w:rsidR="00000000" w:rsidDel="00000000" w:rsidP="00000000" w:rsidRDefault="00000000" w:rsidRPr="00000000" w14:paraId="000008E4">
      <w:pPr>
        <w:rPr>
          <w:b w:val="1"/>
        </w:rPr>
      </w:pPr>
      <w:r w:rsidDel="00000000" w:rsidR="00000000" w:rsidRPr="00000000">
        <w:rPr>
          <w:b w:val="1"/>
          <w:rtl w:val="0"/>
        </w:rPr>
        <w:t xml:space="preserve">6.4 LIMITATIONS OF THE STUDY</w:t>
      </w:r>
    </w:p>
    <w:p w:rsidR="00000000" w:rsidDel="00000000" w:rsidP="00000000" w:rsidRDefault="00000000" w:rsidRPr="00000000" w14:paraId="000008E5">
      <w:pPr>
        <w:spacing w:after="240" w:before="240" w:lineRule="auto"/>
        <w:jc w:val="both"/>
        <w:rPr/>
      </w:pPr>
      <w:r w:rsidDel="00000000" w:rsidR="00000000" w:rsidRPr="00000000">
        <w:rPr>
          <w:rtl w:val="0"/>
        </w:rPr>
        <w:t xml:space="preserve">While this study offers meaningful insights into the adoption of at-home wellness technologies, several limitations should be acknowledged to ensure proper interpretation and guide future research directions.</w:t>
      </w:r>
    </w:p>
    <w:p w:rsidR="00000000" w:rsidDel="00000000" w:rsidP="00000000" w:rsidRDefault="00000000" w:rsidRPr="00000000" w14:paraId="000008E6">
      <w:pPr>
        <w:spacing w:after="240" w:before="240" w:lineRule="auto"/>
        <w:jc w:val="both"/>
        <w:rPr/>
      </w:pPr>
      <w:r w:rsidDel="00000000" w:rsidR="00000000" w:rsidRPr="00000000">
        <w:rPr>
          <w:rtl w:val="0"/>
        </w:rPr>
        <w:t xml:space="preserve">Geographic and cultural generalizability:</w:t>
        <w:br w:type="textWrapping"/>
        <w:t xml:space="preserve"> Although the survey was conducted online, the majority of participants were based in California, USA. As such, the findings may not fully reflect global variations in trust, digital literacy, healthcare systems, and cultural attitudes toward health technologies. Cross-cultural studies would be useful to validate the model across diverse populations and regulatory environments.</w:t>
      </w:r>
    </w:p>
    <w:p w:rsidR="00000000" w:rsidDel="00000000" w:rsidP="00000000" w:rsidRDefault="00000000" w:rsidRPr="00000000" w14:paraId="000008E7">
      <w:pPr>
        <w:spacing w:after="240" w:before="240" w:lineRule="auto"/>
        <w:jc w:val="both"/>
        <w:rPr/>
      </w:pPr>
      <w:r w:rsidDel="00000000" w:rsidR="00000000" w:rsidRPr="00000000">
        <w:rPr>
          <w:rtl w:val="0"/>
        </w:rPr>
        <w:t xml:space="preserve">Cross-sectional design:</w:t>
        <w:br w:type="textWrapping"/>
        <w:t xml:space="preserve"> This study employed a cross-sectional survey, capturing respondents’ attitudes and intentions at a single point in time. Longitudinal research is needed to understand how trust, motivation, and risk perceptions evolve and influence actual long-term usage behavior.</w:t>
      </w:r>
    </w:p>
    <w:p w:rsidR="00000000" w:rsidDel="00000000" w:rsidP="00000000" w:rsidRDefault="00000000" w:rsidRPr="00000000" w14:paraId="000008E8">
      <w:pPr>
        <w:spacing w:after="240" w:before="240" w:lineRule="auto"/>
        <w:jc w:val="both"/>
        <w:rPr/>
      </w:pPr>
      <w:r w:rsidDel="00000000" w:rsidR="00000000" w:rsidRPr="00000000">
        <w:rPr>
          <w:rtl w:val="0"/>
        </w:rPr>
        <w:t xml:space="preserve">Self-reported data bias:</w:t>
        <w:br w:type="textWrapping"/>
        <w:t xml:space="preserve"> The reliance on self-reported data may introduce social desirability or recall bias. Participants may overstate their intention to adopt or their comfort with technology. Future studies should incorporate behavioral usage data or mixed-method designs to triangulate findings.</w:t>
      </w:r>
    </w:p>
    <w:p w:rsidR="00000000" w:rsidDel="00000000" w:rsidP="00000000" w:rsidRDefault="00000000" w:rsidRPr="00000000" w14:paraId="000008E9">
      <w:pPr>
        <w:spacing w:after="240" w:before="240" w:lineRule="auto"/>
        <w:jc w:val="both"/>
        <w:rPr/>
      </w:pPr>
      <w:r w:rsidDel="00000000" w:rsidR="00000000" w:rsidRPr="00000000">
        <w:rPr>
          <w:rtl w:val="0"/>
        </w:rPr>
        <w:t xml:space="preserve">Limited construct scope:</w:t>
        <w:br w:type="textWrapping"/>
        <w:t xml:space="preserve"> The model focused on constructs such as Performance Expectancy (PE), Effort Expectancy (EE), Health Motivation (HM), and Perceived Risk (PR). However, other potentially influential factors like price sensitivity, brand familiarity, AI trust, digital literacy, and mental health status were not explored. Including such variables could offer a more holistic view of adoption dynamics.</w:t>
      </w:r>
    </w:p>
    <w:p w:rsidR="00000000" w:rsidDel="00000000" w:rsidP="00000000" w:rsidRDefault="00000000" w:rsidRPr="00000000" w14:paraId="000008EA">
      <w:pPr>
        <w:spacing w:after="240" w:before="240" w:lineRule="auto"/>
        <w:jc w:val="both"/>
        <w:rPr/>
      </w:pPr>
      <w:r w:rsidDel="00000000" w:rsidR="00000000" w:rsidRPr="00000000">
        <w:rPr>
          <w:rtl w:val="0"/>
        </w:rPr>
        <w:t xml:space="preserve">fsQCA calibration sensitivity:</w:t>
        <w:br w:type="textWrapping"/>
        <w:t xml:space="preserve"> While fsQCA provides rich configurational insights, its results are sensitive to the calibration thresholds used. These thresholds were derived from this dataset and may not apply universally. Additionally, fsQCA lacks effect size or probability metrics, limiting comparability with traditional statistical models.</w:t>
      </w:r>
    </w:p>
    <w:p w:rsidR="00000000" w:rsidDel="00000000" w:rsidP="00000000" w:rsidRDefault="00000000" w:rsidRPr="00000000" w14:paraId="000008EB">
      <w:pPr>
        <w:spacing w:after="240" w:before="240" w:lineRule="auto"/>
        <w:jc w:val="both"/>
        <w:rPr/>
      </w:pPr>
      <w:r w:rsidDel="00000000" w:rsidR="00000000" w:rsidRPr="00000000">
        <w:rPr>
          <w:rtl w:val="0"/>
        </w:rPr>
        <w:t xml:space="preserve">Methodological complexity:</w:t>
        <w:br w:type="textWrapping"/>
        <w:t xml:space="preserve"> Combining PLS-SEM with fsQCA strengthens analytical depth but may pose challenges for replication by researchers unfamiliar with configurational logic. Simplified frameworks or guided application protocols may help bridge this gap.</w:t>
      </w:r>
    </w:p>
    <w:p w:rsidR="00000000" w:rsidDel="00000000" w:rsidP="00000000" w:rsidRDefault="00000000" w:rsidRPr="00000000" w14:paraId="000008EC">
      <w:pPr>
        <w:spacing w:after="240" w:before="240" w:lineRule="auto"/>
        <w:jc w:val="both"/>
        <w:rPr/>
      </w:pPr>
      <w:r w:rsidDel="00000000" w:rsidR="00000000" w:rsidRPr="00000000">
        <w:rPr>
          <w:rtl w:val="0"/>
        </w:rPr>
        <w:t xml:space="preserve">Framework application limitations:</w:t>
        <w:br w:type="textWrapping"/>
        <w:t xml:space="preserve"> Although the Wellness Trust Lifecycle Plus (W-TLC⁺) model offers a novel lens, its generalizability across wellness subdomains (e.g., biohacking, femtech, neurotech) remains untested. Future research could explore how consumers move through W-TLC⁺ stages—Exposure, Curiosity, Evaluation, Trial, Verification, and Endorsement/Exit—across different product categories and cultural settings.</w:t>
      </w:r>
    </w:p>
    <w:p w:rsidR="00000000" w:rsidDel="00000000" w:rsidP="00000000" w:rsidRDefault="00000000" w:rsidRPr="00000000" w14:paraId="000008ED">
      <w:pPr>
        <w:spacing w:after="280" w:before="280" w:lineRule="auto"/>
        <w:jc w:val="both"/>
        <w:rPr>
          <w:b w:val="1"/>
        </w:rPr>
      </w:pPr>
      <w:r w:rsidDel="00000000" w:rsidR="00000000" w:rsidRPr="00000000">
        <w:rPr>
          <w:b w:val="1"/>
          <w:rtl w:val="0"/>
        </w:rPr>
        <w:t xml:space="preserve">Conclusion:</w:t>
      </w:r>
    </w:p>
    <w:p w:rsidR="00000000" w:rsidDel="00000000" w:rsidP="00000000" w:rsidRDefault="00000000" w:rsidRPr="00000000" w14:paraId="000008EE">
      <w:pPr>
        <w:spacing w:after="280" w:before="280" w:lineRule="auto"/>
        <w:jc w:val="both"/>
        <w:rPr/>
      </w:pPr>
      <w:r w:rsidDel="00000000" w:rsidR="00000000" w:rsidRPr="00000000">
        <w:rPr>
          <w:rtl w:val="0"/>
        </w:rPr>
        <w:t xml:space="preserve">Despite these limitations, this thesis contributes robust theoretical and empirical insights into the adoption of preventive wellness technologies. Recognizing its boundaries provides clarity for interpreting results and opens avenues for future inquiry into dynamic, trust-based consumer behavior in decentralized health ecosystems.</w:t>
      </w:r>
    </w:p>
    <w:p w:rsidR="00000000" w:rsidDel="00000000" w:rsidP="00000000" w:rsidRDefault="00000000" w:rsidRPr="00000000" w14:paraId="000008EF">
      <w:pPr>
        <w:rPr>
          <w:b w:val="1"/>
        </w:rPr>
      </w:pPr>
      <w:r w:rsidDel="00000000" w:rsidR="00000000" w:rsidRPr="00000000">
        <w:rPr>
          <w:b w:val="1"/>
          <w:rtl w:val="0"/>
        </w:rPr>
        <w:t xml:space="preserve">6.5 RECOMMENDATIONS FOR FUTURE RESEARCH</w:t>
      </w:r>
    </w:p>
    <w:p w:rsidR="00000000" w:rsidDel="00000000" w:rsidP="00000000" w:rsidRDefault="00000000" w:rsidRPr="00000000" w14:paraId="000008F0">
      <w:pPr>
        <w:spacing w:after="240" w:before="240" w:lineRule="auto"/>
        <w:rPr/>
      </w:pPr>
      <w:r w:rsidDel="00000000" w:rsidR="00000000" w:rsidRPr="00000000">
        <w:rPr>
          <w:rtl w:val="0"/>
        </w:rPr>
        <w:t xml:space="preserve">The findings and limitations of this study point to several key directions for future research in the field of preventive health technology and digital wellness innovation.</w:t>
      </w:r>
    </w:p>
    <w:p w:rsidR="00000000" w:rsidDel="00000000" w:rsidP="00000000" w:rsidRDefault="00000000" w:rsidRPr="00000000" w14:paraId="000008F1">
      <w:pPr>
        <w:spacing w:after="240" w:before="240" w:lineRule="auto"/>
        <w:rPr/>
      </w:pPr>
      <w:r w:rsidDel="00000000" w:rsidR="00000000" w:rsidRPr="00000000">
        <w:rPr>
          <w:rtl w:val="0"/>
        </w:rPr>
        <w:t xml:space="preserve">1. Geographic and Cultural Diversity</w:t>
        <w:br w:type="textWrapping"/>
        <w:t xml:space="preserve"> Future studies should broaden the geographic scope beyond California and the United States to include cross-cultural and global perspectives. Health behaviors, trust in technology, and digital literacy vary significantly across regions. Comparative international studies, particularly those focused on developing or underserved populations, can provide deeper insight into barriers and adoption pathways in diverse settings.</w:t>
      </w:r>
    </w:p>
    <w:p w:rsidR="00000000" w:rsidDel="00000000" w:rsidP="00000000" w:rsidRDefault="00000000" w:rsidRPr="00000000" w14:paraId="000008F2">
      <w:pPr>
        <w:spacing w:after="240" w:before="240" w:lineRule="auto"/>
        <w:rPr/>
      </w:pPr>
      <w:r w:rsidDel="00000000" w:rsidR="00000000" w:rsidRPr="00000000">
        <w:rPr>
          <w:rtl w:val="0"/>
        </w:rPr>
        <w:t xml:space="preserve">2. Longitudinal and Behavioral Tracking</w:t>
        <w:br w:type="textWrapping"/>
        <w:t xml:space="preserve"> As this study used a cross-sectional design, future work should adopt longitudinal approaches to understand how consumer trust, motivation, and perceived risk evolve over time. This will help track behavioral shifts due to external events (e.g., privacy breaches or health scares) and enable better modeling of sustained versus short-term adoption patterns.</w:t>
      </w:r>
    </w:p>
    <w:p w:rsidR="00000000" w:rsidDel="00000000" w:rsidP="00000000" w:rsidRDefault="00000000" w:rsidRPr="00000000" w14:paraId="000008F3">
      <w:pPr>
        <w:spacing w:after="240" w:before="240" w:lineRule="auto"/>
        <w:rPr/>
      </w:pPr>
      <w:r w:rsidDel="00000000" w:rsidR="00000000" w:rsidRPr="00000000">
        <w:rPr>
          <w:rtl w:val="0"/>
        </w:rPr>
        <w:t xml:space="preserve">3. Psychological and Emotional Constructs</w:t>
        <w:br w:type="textWrapping"/>
        <w:t xml:space="preserve"> Expanding the conceptual framework to include psychological factors such as anxiety about technology, trust in artificial intelligence (AI), digital fatigue, confidence, or perceived well-being could enrich understanding of health tech usage. These affective dimensions may mediate or moderate behavioral intentions and deserve greater empirical focus.</w:t>
      </w:r>
    </w:p>
    <w:p w:rsidR="00000000" w:rsidDel="00000000" w:rsidP="00000000" w:rsidRDefault="00000000" w:rsidRPr="00000000" w14:paraId="000008F4">
      <w:pPr>
        <w:spacing w:after="240" w:before="240" w:lineRule="auto"/>
        <w:rPr/>
      </w:pPr>
      <w:r w:rsidDel="00000000" w:rsidR="00000000" w:rsidRPr="00000000">
        <w:rPr>
          <w:rtl w:val="0"/>
        </w:rPr>
        <w:t xml:space="preserve">4. Post-Adoption Behaviors</w:t>
        <w:br w:type="textWrapping"/>
        <w:t xml:space="preserve"> While initial adoption is important, future research should explore post-adoption phenomena such as continued use, habit formation, abandonment, or satisfaction. This would offer a more complete view of technology lifecycle engagement in wellness contexts.</w:t>
      </w:r>
    </w:p>
    <w:p w:rsidR="00000000" w:rsidDel="00000000" w:rsidP="00000000" w:rsidRDefault="00000000" w:rsidRPr="00000000" w14:paraId="000008F5">
      <w:pPr>
        <w:spacing w:after="240" w:before="240" w:lineRule="auto"/>
        <w:rPr/>
      </w:pPr>
      <w:r w:rsidDel="00000000" w:rsidR="00000000" w:rsidRPr="00000000">
        <w:rPr>
          <w:rtl w:val="0"/>
        </w:rPr>
        <w:t xml:space="preserve">5. Multi-Method Research Approaches</w:t>
        <w:br w:type="textWrapping"/>
        <w:t xml:space="preserve"> Beyond combining PLS-SEM and fsQCA, future work should consider triangulating quantitative models with qualitative methods like interviews, focus groups, or digital ethnography. Such hybrid designs can uncover user narratives, motivations, and context-specific experiences that remain hidden in statistical data alone.</w:t>
      </w:r>
    </w:p>
    <w:p w:rsidR="00000000" w:rsidDel="00000000" w:rsidP="00000000" w:rsidRDefault="00000000" w:rsidRPr="00000000" w14:paraId="000008F6">
      <w:pPr>
        <w:spacing w:after="240" w:before="240" w:lineRule="auto"/>
        <w:rPr/>
      </w:pPr>
      <w:r w:rsidDel="00000000" w:rsidR="00000000" w:rsidRPr="00000000">
        <w:rPr>
          <w:rtl w:val="0"/>
        </w:rPr>
        <w:t xml:space="preserve">6. User Segmentation and Personalization</w:t>
        <w:br w:type="textWrapping"/>
        <w:t xml:space="preserve"> Segmenting users by age, digital literacy, health status, or openness to innovation may reveal nuanced adoption behaviors. fsQCA findings underscore that different combinations of factors drive adoption across consumer profiles. Tailored interventions and product features can be designed accordingly.</w:t>
      </w:r>
    </w:p>
    <w:p w:rsidR="00000000" w:rsidDel="00000000" w:rsidP="00000000" w:rsidRDefault="00000000" w:rsidRPr="00000000" w14:paraId="000008F7">
      <w:pPr>
        <w:spacing w:after="240" w:before="240" w:lineRule="auto"/>
        <w:rPr/>
      </w:pPr>
      <w:r w:rsidDel="00000000" w:rsidR="00000000" w:rsidRPr="00000000">
        <w:rPr>
          <w:rtl w:val="0"/>
        </w:rPr>
        <w:t xml:space="preserve">7. Advanced Statistical Models</w:t>
        <w:br w:type="textWrapping"/>
        <w:t xml:space="preserve"> Researchers may apply multi-group analysis, moderated mediation, or latent class modeling to explore how different subgroups process and adopt wellness technology. This approach would uncover deeper mechanisms and variability across user cohorts.</w:t>
      </w:r>
    </w:p>
    <w:p w:rsidR="00000000" w:rsidDel="00000000" w:rsidP="00000000" w:rsidRDefault="00000000" w:rsidRPr="00000000" w14:paraId="000008F8">
      <w:pPr>
        <w:spacing w:after="240" w:before="240" w:lineRule="auto"/>
        <w:rPr/>
      </w:pPr>
      <w:r w:rsidDel="00000000" w:rsidR="00000000" w:rsidRPr="00000000">
        <w:rPr>
          <w:rtl w:val="0"/>
        </w:rPr>
        <w:t xml:space="preserve">8. Application of the W-TLC⁺ Framework</w:t>
        <w:br w:type="textWrapping"/>
        <w:t xml:space="preserve"> Future studies should test the Wellness Trust Lifecycle Plus (W-TLC⁺) framework across domains such as biohacking, femtech, mental health apps, and neurotech. Longitudinal and case-based methods can explore how trust formation evolves through stages (Exposure to Endorsement/Exit). W-TLC⁺ also holds potential for founder education, product strategy, and policy design.</w:t>
      </w:r>
    </w:p>
    <w:p w:rsidR="00000000" w:rsidDel="00000000" w:rsidP="00000000" w:rsidRDefault="00000000" w:rsidRPr="00000000" w14:paraId="000008F9">
      <w:pPr>
        <w:spacing w:after="240" w:before="240" w:lineRule="auto"/>
        <w:rPr/>
      </w:pPr>
      <w:r w:rsidDel="00000000" w:rsidR="00000000" w:rsidRPr="00000000">
        <w:rPr>
          <w:rtl w:val="0"/>
        </w:rPr>
        <w:t xml:space="preserve">9. Product-Level Investigations</w:t>
        <w:br w:type="textWrapping"/>
        <w:t xml:space="preserve"> Rather than generalizing across all wellness technologies, future work should examine specific product categories (e.g., red light masks, smart rings, sleep trackers, or digital coaching platforms). This focus will yield actionable, context-specific insights for entrepreneurs and developers.</w:t>
      </w:r>
    </w:p>
    <w:p w:rsidR="00000000" w:rsidDel="00000000" w:rsidP="00000000" w:rsidRDefault="00000000" w:rsidRPr="00000000" w14:paraId="000008FA">
      <w:pPr>
        <w:spacing w:after="280" w:before="280" w:lineRule="auto"/>
        <w:rPr/>
      </w:pPr>
      <w:r w:rsidDel="00000000" w:rsidR="00000000" w:rsidRPr="00000000">
        <w:rPr>
          <w:rtl w:val="0"/>
        </w:rPr>
      </w:r>
    </w:p>
    <w:p w:rsidR="00000000" w:rsidDel="00000000" w:rsidP="00000000" w:rsidRDefault="00000000" w:rsidRPr="00000000" w14:paraId="000008FB">
      <w:pPr>
        <w:rPr>
          <w:b w:val="1"/>
        </w:rPr>
      </w:pPr>
      <w:r w:rsidDel="00000000" w:rsidR="00000000" w:rsidRPr="00000000">
        <w:rPr>
          <w:b w:val="1"/>
          <w:rtl w:val="0"/>
        </w:rPr>
        <w:t xml:space="preserve">6.6 FINAL CONCLUSION </w:t>
      </w:r>
    </w:p>
    <w:p w:rsidR="00000000" w:rsidDel="00000000" w:rsidP="00000000" w:rsidRDefault="00000000" w:rsidRPr="00000000" w14:paraId="000008FC">
      <w:pPr>
        <w:spacing w:after="240" w:before="240" w:lineRule="auto"/>
        <w:jc w:val="both"/>
        <w:rPr/>
      </w:pPr>
      <w:r w:rsidDel="00000000" w:rsidR="00000000" w:rsidRPr="00000000">
        <w:rPr>
          <w:rtl w:val="0"/>
        </w:rPr>
        <w:t xml:space="preserve">This thesis examined the behavioral and psychological drivers of at-home wellness technology adoption using both PLS-SEM and fsQCA. Building on TAM and UTAUT, it introduced new constructs—Technology Credibility, Perceived Risk, Health Motivation, and Personal Innovativeness—to better explain adoption in unregulated settings. Behavioral Intention emerged as the strongest predictor of use, while fsQCA revealed multiple valid paths to adoption (equifinality), depending on combinations of motivation, support, and trust.</w:t>
      </w:r>
    </w:p>
    <w:p w:rsidR="00000000" w:rsidDel="00000000" w:rsidP="00000000" w:rsidRDefault="00000000" w:rsidRPr="00000000" w14:paraId="000008FD">
      <w:pPr>
        <w:spacing w:after="240" w:before="240" w:lineRule="auto"/>
        <w:jc w:val="both"/>
        <w:rPr/>
      </w:pPr>
      <w:r w:rsidDel="00000000" w:rsidR="00000000" w:rsidRPr="00000000">
        <w:rPr>
          <w:rtl w:val="0"/>
        </w:rPr>
        <w:t xml:space="preserve">To address how users adopt technologies without regulatory guidance, the thesis introduced the Wellness Trust Lifecycle Plus (W-TLC+)—a six-stage model describing how trust forms and evolves across user interactions with wellness technology. This model reflects empirical patterns and provides a practical guide for scaling ethical innovation.</w:t>
      </w:r>
    </w:p>
    <w:p w:rsidR="00000000" w:rsidDel="00000000" w:rsidP="00000000" w:rsidRDefault="00000000" w:rsidRPr="00000000" w14:paraId="000008FE">
      <w:pPr>
        <w:spacing w:after="240" w:before="240" w:lineRule="auto"/>
        <w:jc w:val="both"/>
        <w:rPr>
          <w:i w:val="1"/>
        </w:rPr>
      </w:pPr>
      <w:r w:rsidDel="00000000" w:rsidR="00000000" w:rsidRPr="00000000">
        <w:rPr>
          <w:rtl w:val="0"/>
        </w:rPr>
        <w:t xml:space="preserve">Ultimately, the research offers a validated model and a novel trust lifecycle framework for understanding real-world user decisions in preventive wellness. It helps answer a pressing modern question: </w:t>
      </w:r>
      <w:r w:rsidDel="00000000" w:rsidR="00000000" w:rsidRPr="00000000">
        <w:rPr>
          <w:i w:val="1"/>
          <w:rtl w:val="0"/>
        </w:rPr>
        <w:t xml:space="preserve">How do people adopt technologies they believe in, even when no one officially endorses them?</w:t>
      </w:r>
    </w:p>
    <w:p w:rsidR="00000000" w:rsidDel="00000000" w:rsidP="00000000" w:rsidRDefault="00000000" w:rsidRPr="00000000" w14:paraId="000008FF">
      <w:pPr>
        <w:spacing w:after="240" w:before="240" w:lineRule="auto"/>
        <w:jc w:val="both"/>
        <w:rPr/>
      </w:pPr>
      <w:r w:rsidDel="00000000" w:rsidR="00000000" w:rsidRPr="00000000">
        <w:rPr>
          <w:rtl w:val="0"/>
        </w:rPr>
      </w:r>
    </w:p>
    <w:p w:rsidR="00000000" w:rsidDel="00000000" w:rsidP="00000000" w:rsidRDefault="00000000" w:rsidRPr="00000000" w14:paraId="00000900">
      <w:pPr>
        <w:spacing w:after="280" w:before="280" w:lineRule="auto"/>
        <w:jc w:val="both"/>
        <w:rPr/>
      </w:pPr>
      <w:r w:rsidDel="00000000" w:rsidR="00000000" w:rsidRPr="00000000">
        <w:rPr>
          <w:rtl w:val="0"/>
        </w:rPr>
      </w:r>
    </w:p>
    <w:p w:rsidR="00000000" w:rsidDel="00000000" w:rsidP="00000000" w:rsidRDefault="00000000" w:rsidRPr="00000000" w14:paraId="00000901">
      <w:pPr>
        <w:spacing w:after="280" w:before="280" w:lineRule="auto"/>
        <w:rPr/>
      </w:pPr>
      <w:r w:rsidDel="00000000" w:rsidR="00000000" w:rsidRPr="00000000">
        <w:rPr>
          <w:rtl w:val="0"/>
        </w:rPr>
      </w:r>
    </w:p>
    <w:p w:rsidR="00000000" w:rsidDel="00000000" w:rsidP="00000000" w:rsidRDefault="00000000" w:rsidRPr="00000000" w14:paraId="00000902">
      <w:pPr>
        <w:spacing w:after="280" w:before="280" w:lineRule="auto"/>
        <w:rPr/>
      </w:pPr>
      <w:r w:rsidDel="00000000" w:rsidR="00000000" w:rsidRPr="00000000">
        <w:rPr>
          <w:rtl w:val="0"/>
        </w:rPr>
      </w:r>
    </w:p>
    <w:p w:rsidR="00000000" w:rsidDel="00000000" w:rsidP="00000000" w:rsidRDefault="00000000" w:rsidRPr="00000000" w14:paraId="00000903">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smallCaps w:val="1"/>
          <w:color w:val="0d0d0d"/>
          <w:highlight w:val="white"/>
        </w:rPr>
      </w:pPr>
      <w:r w:rsidDel="00000000" w:rsidR="00000000" w:rsidRPr="00000000">
        <w:rPr>
          <w:rtl w:val="0"/>
        </w:rPr>
      </w:r>
    </w:p>
    <w:p w:rsidR="00000000" w:rsidDel="00000000" w:rsidP="00000000" w:rsidRDefault="00000000" w:rsidRPr="00000000" w14:paraId="00000904">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smallCaps w:val="1"/>
          <w:color w:val="0d0d0d"/>
          <w:highlight w:val="white"/>
        </w:rPr>
      </w:pPr>
      <w:r w:rsidDel="00000000" w:rsidR="00000000" w:rsidRPr="00000000">
        <w:rPr>
          <w:rtl w:val="0"/>
        </w:rPr>
      </w:r>
    </w:p>
    <w:p w:rsidR="00000000" w:rsidDel="00000000" w:rsidP="00000000" w:rsidRDefault="00000000" w:rsidRPr="00000000" w14:paraId="00000905">
      <w:pPr>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Rule="auto"/>
        <w:jc w:val="both"/>
        <w:rPr>
          <w:smallCaps w:val="1"/>
          <w:color w:val="0d0d0d"/>
          <w:highlight w:val="white"/>
        </w:rPr>
      </w:pPr>
      <w:r w:rsidDel="00000000" w:rsidR="00000000" w:rsidRPr="00000000">
        <w:rPr>
          <w:rtl w:val="0"/>
        </w:rPr>
      </w:r>
    </w:p>
    <w:p w:rsidR="00000000" w:rsidDel="00000000" w:rsidP="00000000" w:rsidRDefault="00000000" w:rsidRPr="00000000" w14:paraId="00000906">
      <w:pPr>
        <w:jc w:val="both"/>
        <w:rPr>
          <w:smallCaps w:val="1"/>
          <w:color w:val="0d0d0d"/>
          <w:highlight w:val="white"/>
        </w:rPr>
      </w:pPr>
      <w:r w:rsidDel="00000000" w:rsidR="00000000" w:rsidRPr="00000000">
        <w:rPr>
          <w:rtl w:val="0"/>
        </w:rPr>
      </w:r>
    </w:p>
    <w:p w:rsidR="00000000" w:rsidDel="00000000" w:rsidP="00000000" w:rsidRDefault="00000000" w:rsidRPr="00000000" w14:paraId="00000907">
      <w:pPr>
        <w:jc w:val="both"/>
        <w:rPr>
          <w:smallCaps w:val="1"/>
          <w:color w:val="0d0d0d"/>
          <w:highlight w:val="white"/>
        </w:rPr>
      </w:pPr>
      <w:r w:rsidDel="00000000" w:rsidR="00000000" w:rsidRPr="00000000">
        <w:rPr>
          <w:rtl w:val="0"/>
        </w:rPr>
      </w:r>
    </w:p>
    <w:p w:rsidR="00000000" w:rsidDel="00000000" w:rsidP="00000000" w:rsidRDefault="00000000" w:rsidRPr="00000000" w14:paraId="00000908">
      <w:pPr>
        <w:jc w:val="both"/>
        <w:rPr>
          <w:smallCaps w:val="1"/>
          <w:color w:val="0d0d0d"/>
          <w:highlight w:val="white"/>
        </w:rPr>
      </w:pPr>
      <w:r w:rsidDel="00000000" w:rsidR="00000000" w:rsidRPr="00000000">
        <w:rPr>
          <w:rtl w:val="0"/>
        </w:rPr>
      </w:r>
    </w:p>
    <w:p w:rsidR="00000000" w:rsidDel="00000000" w:rsidP="00000000" w:rsidRDefault="00000000" w:rsidRPr="00000000" w14:paraId="00000909">
      <w:pPr>
        <w:jc w:val="both"/>
        <w:rPr>
          <w:smallCaps w:val="1"/>
          <w:color w:val="0d0d0d"/>
          <w:highlight w:val="white"/>
        </w:rPr>
      </w:pPr>
      <w:r w:rsidDel="00000000" w:rsidR="00000000" w:rsidRPr="00000000">
        <w:rPr>
          <w:rtl w:val="0"/>
        </w:rPr>
      </w:r>
    </w:p>
    <w:p w:rsidR="00000000" w:rsidDel="00000000" w:rsidP="00000000" w:rsidRDefault="00000000" w:rsidRPr="00000000" w14:paraId="0000090A">
      <w:pPr>
        <w:jc w:val="both"/>
        <w:rPr>
          <w:smallCaps w:val="1"/>
          <w:color w:val="0d0d0d"/>
          <w:highlight w:val="white"/>
        </w:rPr>
      </w:pPr>
      <w:r w:rsidDel="00000000" w:rsidR="00000000" w:rsidRPr="00000000">
        <w:rPr>
          <w:rtl w:val="0"/>
        </w:rPr>
      </w:r>
    </w:p>
    <w:p w:rsidR="00000000" w:rsidDel="00000000" w:rsidP="00000000" w:rsidRDefault="00000000" w:rsidRPr="00000000" w14:paraId="0000090B">
      <w:pPr>
        <w:jc w:val="both"/>
        <w:rPr>
          <w:smallCaps w:val="1"/>
          <w:color w:val="0d0d0d"/>
          <w:highlight w:val="white"/>
        </w:rPr>
      </w:pPr>
      <w:r w:rsidDel="00000000" w:rsidR="00000000" w:rsidRPr="00000000">
        <w:rPr>
          <w:rtl w:val="0"/>
        </w:rPr>
      </w:r>
    </w:p>
    <w:p w:rsidR="00000000" w:rsidDel="00000000" w:rsidP="00000000" w:rsidRDefault="00000000" w:rsidRPr="00000000" w14:paraId="0000090C">
      <w:pPr>
        <w:jc w:val="center"/>
        <w:rPr>
          <w:smallCaps w:val="1"/>
          <w:color w:val="0d0d0d"/>
          <w:highlight w:val="white"/>
        </w:rPr>
      </w:pPr>
      <w:r w:rsidDel="00000000" w:rsidR="00000000" w:rsidRPr="00000000">
        <w:rPr>
          <w:smallCaps w:val="1"/>
          <w:color w:val="0d0d0d"/>
          <w:highlight w:val="white"/>
          <w:rtl w:val="0"/>
        </w:rPr>
        <w:t xml:space="preserve">APPENDIX A</w:t>
      </w:r>
    </w:p>
    <w:p w:rsidR="00000000" w:rsidDel="00000000" w:rsidP="00000000" w:rsidRDefault="00000000" w:rsidRPr="00000000" w14:paraId="0000090D">
      <w:pPr>
        <w:jc w:val="center"/>
        <w:rPr>
          <w:smallCaps w:val="1"/>
          <w:color w:val="0d0d0d"/>
          <w:highlight w:val="white"/>
        </w:rPr>
      </w:pPr>
      <w:r w:rsidDel="00000000" w:rsidR="00000000" w:rsidRPr="00000000">
        <w:rPr>
          <w:smallCaps w:val="1"/>
          <w:color w:val="0d0d0d"/>
          <w:highlight w:val="white"/>
          <w:rtl w:val="0"/>
        </w:rPr>
        <w:t xml:space="preserve">SURVEY COVER LETTER</w:t>
      </w:r>
    </w:p>
    <w:p w:rsidR="00000000" w:rsidDel="00000000" w:rsidP="00000000" w:rsidRDefault="00000000" w:rsidRPr="00000000" w14:paraId="0000090E">
      <w:pPr>
        <w:jc w:val="both"/>
        <w:rPr>
          <w:smallCaps w:val="1"/>
          <w:color w:val="0d0d0d"/>
          <w:highlight w:val="white"/>
        </w:rPr>
      </w:pPr>
      <w:r w:rsidDel="00000000" w:rsidR="00000000" w:rsidRPr="00000000">
        <w:rPr>
          <w:rtl w:val="0"/>
        </w:rPr>
      </w:r>
    </w:p>
    <w:p w:rsidR="00000000" w:rsidDel="00000000" w:rsidP="00000000" w:rsidRDefault="00000000" w:rsidRPr="00000000" w14:paraId="0000090F">
      <w:pPr>
        <w:jc w:val="both"/>
        <w:rPr>
          <w:smallCaps w:val="1"/>
          <w:color w:val="0d0d0d"/>
          <w:highlight w:val="white"/>
        </w:rPr>
      </w:pPr>
      <w:r w:rsidDel="00000000" w:rsidR="00000000" w:rsidRPr="00000000">
        <w:rPr>
          <w:smallCaps w:val="1"/>
          <w:color w:val="0d0d0d"/>
          <w:highlight w:val="white"/>
          <w:rtl w:val="0"/>
        </w:rPr>
        <w:t xml:space="preserve">Sean Plotkin, DBA Candidate</w:t>
      </w:r>
    </w:p>
    <w:p w:rsidR="00000000" w:rsidDel="00000000" w:rsidP="00000000" w:rsidRDefault="00000000" w:rsidRPr="00000000" w14:paraId="00000910">
      <w:pPr>
        <w:jc w:val="both"/>
        <w:rPr>
          <w:smallCaps w:val="1"/>
          <w:color w:val="0d0d0d"/>
          <w:highlight w:val="white"/>
        </w:rPr>
      </w:pPr>
      <w:r w:rsidDel="00000000" w:rsidR="00000000" w:rsidRPr="00000000">
        <w:rPr>
          <w:smallCaps w:val="1"/>
          <w:color w:val="0d0d0d"/>
          <w:highlight w:val="white"/>
          <w:rtl w:val="0"/>
        </w:rPr>
        <w:t xml:space="preserve">4434 Pacific Coast Highway</w:t>
      </w:r>
    </w:p>
    <w:p w:rsidR="00000000" w:rsidDel="00000000" w:rsidP="00000000" w:rsidRDefault="00000000" w:rsidRPr="00000000" w14:paraId="00000911">
      <w:pPr>
        <w:jc w:val="both"/>
        <w:rPr>
          <w:smallCaps w:val="1"/>
          <w:color w:val="0d0d0d"/>
          <w:highlight w:val="white"/>
        </w:rPr>
      </w:pPr>
      <w:r w:rsidDel="00000000" w:rsidR="00000000" w:rsidRPr="00000000">
        <w:rPr>
          <w:smallCaps w:val="1"/>
          <w:color w:val="0d0d0d"/>
          <w:highlight w:val="white"/>
          <w:rtl w:val="0"/>
        </w:rPr>
        <w:t xml:space="preserve">Long Beach, CA, 90804</w:t>
      </w:r>
    </w:p>
    <w:p w:rsidR="00000000" w:rsidDel="00000000" w:rsidP="00000000" w:rsidRDefault="00000000" w:rsidRPr="00000000" w14:paraId="00000912">
      <w:pPr>
        <w:jc w:val="both"/>
        <w:rPr>
          <w:smallCaps w:val="1"/>
          <w:color w:val="0d0d0d"/>
          <w:highlight w:val="white"/>
        </w:rPr>
      </w:pPr>
      <w:r w:rsidDel="00000000" w:rsidR="00000000" w:rsidRPr="00000000">
        <w:rPr>
          <w:smallCaps w:val="1"/>
          <w:color w:val="0d0d0d"/>
          <w:highlight w:val="white"/>
          <w:rtl w:val="0"/>
        </w:rPr>
        <w:t xml:space="preserve">Sean@reenergized.com</w:t>
      </w:r>
    </w:p>
    <w:p w:rsidR="00000000" w:rsidDel="00000000" w:rsidP="00000000" w:rsidRDefault="00000000" w:rsidRPr="00000000" w14:paraId="00000913">
      <w:pPr>
        <w:jc w:val="both"/>
        <w:rPr>
          <w:smallCaps w:val="1"/>
          <w:color w:val="0d0d0d"/>
          <w:highlight w:val="white"/>
        </w:rPr>
      </w:pPr>
      <w:r w:rsidDel="00000000" w:rsidR="00000000" w:rsidRPr="00000000">
        <w:rPr>
          <w:smallCaps w:val="1"/>
          <w:color w:val="0d0d0d"/>
          <w:highlight w:val="white"/>
          <w:rtl w:val="0"/>
        </w:rPr>
        <w:t xml:space="preserve">562-420-8100</w:t>
      </w:r>
    </w:p>
    <w:p w:rsidR="00000000" w:rsidDel="00000000" w:rsidP="00000000" w:rsidRDefault="00000000" w:rsidRPr="00000000" w14:paraId="00000914">
      <w:pPr>
        <w:jc w:val="both"/>
        <w:rPr>
          <w:smallCaps w:val="1"/>
          <w:color w:val="0d0d0d"/>
          <w:highlight w:val="white"/>
        </w:rPr>
      </w:pPr>
      <w:r w:rsidDel="00000000" w:rsidR="00000000" w:rsidRPr="00000000">
        <w:rPr>
          <w:rtl w:val="0"/>
        </w:rPr>
      </w:r>
    </w:p>
    <w:p w:rsidR="00000000" w:rsidDel="00000000" w:rsidP="00000000" w:rsidRDefault="00000000" w:rsidRPr="00000000" w14:paraId="00000915">
      <w:pPr>
        <w:jc w:val="both"/>
        <w:rPr>
          <w:smallCaps w:val="1"/>
          <w:color w:val="0d0d0d"/>
          <w:highlight w:val="white"/>
        </w:rPr>
      </w:pPr>
      <w:r w:rsidDel="00000000" w:rsidR="00000000" w:rsidRPr="00000000">
        <w:rPr>
          <w:smallCaps w:val="1"/>
          <w:color w:val="0d0d0d"/>
          <w:highlight w:val="white"/>
          <w:rtl w:val="0"/>
        </w:rPr>
        <w:t xml:space="preserve">05/04/2024</w:t>
      </w:r>
    </w:p>
    <w:p w:rsidR="00000000" w:rsidDel="00000000" w:rsidP="00000000" w:rsidRDefault="00000000" w:rsidRPr="00000000" w14:paraId="00000916">
      <w:pPr>
        <w:jc w:val="both"/>
        <w:rPr>
          <w:smallCaps w:val="1"/>
          <w:color w:val="0d0d0d"/>
          <w:highlight w:val="white"/>
        </w:rPr>
      </w:pPr>
      <w:r w:rsidDel="00000000" w:rsidR="00000000" w:rsidRPr="00000000">
        <w:rPr>
          <w:rtl w:val="0"/>
        </w:rPr>
      </w:r>
    </w:p>
    <w:p w:rsidR="00000000" w:rsidDel="00000000" w:rsidP="00000000" w:rsidRDefault="00000000" w:rsidRPr="00000000" w14:paraId="00000917">
      <w:pPr>
        <w:jc w:val="both"/>
        <w:rPr>
          <w:smallCaps w:val="1"/>
          <w:color w:val="0d0d0d"/>
          <w:highlight w:val="white"/>
        </w:rPr>
      </w:pPr>
      <w:r w:rsidDel="00000000" w:rsidR="00000000" w:rsidRPr="00000000">
        <w:rPr>
          <w:smallCaps w:val="1"/>
          <w:color w:val="0d0d0d"/>
          <w:highlight w:val="white"/>
          <w:rtl w:val="0"/>
        </w:rPr>
        <w:t xml:space="preserve">Dear ["Survey Participant"],</w:t>
      </w:r>
    </w:p>
    <w:p w:rsidR="00000000" w:rsidDel="00000000" w:rsidP="00000000" w:rsidRDefault="00000000" w:rsidRPr="00000000" w14:paraId="00000918">
      <w:pPr>
        <w:jc w:val="both"/>
        <w:rPr>
          <w:smallCaps w:val="1"/>
          <w:color w:val="0d0d0d"/>
          <w:highlight w:val="white"/>
        </w:rPr>
      </w:pPr>
      <w:r w:rsidDel="00000000" w:rsidR="00000000" w:rsidRPr="00000000">
        <w:rPr>
          <w:smallCaps w:val="1"/>
          <w:color w:val="0d0d0d"/>
          <w:highlight w:val="white"/>
          <w:rtl w:val="0"/>
        </w:rPr>
        <w:t xml:space="preserve">I am a Doctor of Business Administration (DBA) candidate at the Swiss School of Business Management, currently undertaking a research project titled "Pioneering At-Home Health Tech: An Entrepreneurial Roadmap to Wellness Innovation." This study is designed to understand the emerging trends and consumer preferences in at-home health technologies.</w:t>
      </w:r>
    </w:p>
    <w:p w:rsidR="00000000" w:rsidDel="00000000" w:rsidP="00000000" w:rsidRDefault="00000000" w:rsidRPr="00000000" w14:paraId="00000919">
      <w:pPr>
        <w:jc w:val="both"/>
        <w:rPr>
          <w:smallCaps w:val="1"/>
          <w:color w:val="0d0d0d"/>
          <w:highlight w:val="white"/>
        </w:rPr>
      </w:pPr>
      <w:r w:rsidDel="00000000" w:rsidR="00000000" w:rsidRPr="00000000">
        <w:rPr>
          <w:smallCaps w:val="1"/>
          <w:color w:val="0d0d0d"/>
          <w:highlight w:val="white"/>
          <w:rtl w:val="0"/>
        </w:rPr>
        <w:t xml:space="preserve">Your participation in this survey is invaluable to us as we aim to gather insights from a wide range of perspectives, including yours. The questionnaire will take approximately 15 minutes to complete, and I assure you that all responses will remain confidential and will only be used for academic purposes.</w:t>
      </w:r>
    </w:p>
    <w:p w:rsidR="00000000" w:rsidDel="00000000" w:rsidP="00000000" w:rsidRDefault="00000000" w:rsidRPr="00000000" w14:paraId="0000091A">
      <w:pPr>
        <w:jc w:val="both"/>
        <w:rPr>
          <w:smallCaps w:val="1"/>
          <w:color w:val="0d0d0d"/>
          <w:highlight w:val="white"/>
        </w:rPr>
      </w:pPr>
      <w:r w:rsidDel="00000000" w:rsidR="00000000" w:rsidRPr="00000000">
        <w:rPr>
          <w:rtl w:val="0"/>
        </w:rPr>
      </w:r>
    </w:p>
    <w:p w:rsidR="00000000" w:rsidDel="00000000" w:rsidP="00000000" w:rsidRDefault="00000000" w:rsidRPr="00000000" w14:paraId="0000091B">
      <w:pPr>
        <w:jc w:val="both"/>
        <w:rPr>
          <w:smallCaps w:val="1"/>
          <w:color w:val="0d0d0d"/>
          <w:highlight w:val="white"/>
        </w:rPr>
      </w:pPr>
      <w:hyperlink r:id="rId12">
        <w:r w:rsidDel="00000000" w:rsidR="00000000" w:rsidRPr="00000000">
          <w:rPr>
            <w:smallCaps w:val="1"/>
            <w:color w:val="1155cc"/>
            <w:highlight w:val="white"/>
            <w:u w:val="single"/>
            <w:rtl w:val="0"/>
          </w:rPr>
          <w:t xml:space="preserve">https://reenergized.com/reenergized-health-wellness-likert-test/</w:t>
        </w:r>
      </w:hyperlink>
      <w:r w:rsidDel="00000000" w:rsidR="00000000" w:rsidRPr="00000000">
        <w:rPr>
          <w:rtl w:val="0"/>
        </w:rPr>
      </w:r>
    </w:p>
    <w:p w:rsidR="00000000" w:rsidDel="00000000" w:rsidP="00000000" w:rsidRDefault="00000000" w:rsidRPr="00000000" w14:paraId="0000091C">
      <w:pPr>
        <w:jc w:val="both"/>
        <w:rPr>
          <w:smallCaps w:val="1"/>
          <w:color w:val="0d0d0d"/>
          <w:highlight w:val="white"/>
        </w:rPr>
      </w:pPr>
      <w:r w:rsidDel="00000000" w:rsidR="00000000" w:rsidRPr="00000000">
        <w:rPr>
          <w:rtl w:val="0"/>
        </w:rPr>
      </w:r>
    </w:p>
    <w:p w:rsidR="00000000" w:rsidDel="00000000" w:rsidP="00000000" w:rsidRDefault="00000000" w:rsidRPr="00000000" w14:paraId="0000091D">
      <w:pPr>
        <w:jc w:val="both"/>
        <w:rPr>
          <w:smallCaps w:val="1"/>
          <w:color w:val="0d0d0d"/>
          <w:highlight w:val="white"/>
        </w:rPr>
      </w:pPr>
      <w:r w:rsidDel="00000000" w:rsidR="00000000" w:rsidRPr="00000000">
        <w:rPr>
          <w:smallCaps w:val="1"/>
          <w:color w:val="0d0d0d"/>
          <w:highlight w:val="white"/>
          <w:rtl w:val="0"/>
        </w:rPr>
        <w:t xml:space="preserve">Thank you for considering this opportunity to contribute to important research that seeks to enhance our understanding of home-based health innovations. Your input is not only appreciated but will also help shape the future of how we manage wellness at home.</w:t>
      </w:r>
    </w:p>
    <w:p w:rsidR="00000000" w:rsidDel="00000000" w:rsidP="00000000" w:rsidRDefault="00000000" w:rsidRPr="00000000" w14:paraId="0000091E">
      <w:pPr>
        <w:jc w:val="both"/>
        <w:rPr>
          <w:smallCaps w:val="1"/>
          <w:color w:val="0d0d0d"/>
          <w:highlight w:val="white"/>
        </w:rPr>
      </w:pPr>
      <w:r w:rsidDel="00000000" w:rsidR="00000000" w:rsidRPr="00000000">
        <w:rPr>
          <w:smallCaps w:val="1"/>
          <w:color w:val="0d0d0d"/>
          <w:highlight w:val="white"/>
          <w:rtl w:val="0"/>
        </w:rPr>
        <w:t xml:space="preserve">Warm regards,</w:t>
      </w:r>
    </w:p>
    <w:p w:rsidR="00000000" w:rsidDel="00000000" w:rsidP="00000000" w:rsidRDefault="00000000" w:rsidRPr="00000000" w14:paraId="0000091F">
      <w:pPr>
        <w:jc w:val="both"/>
        <w:rPr>
          <w:smallCaps w:val="1"/>
          <w:color w:val="0d0d0d"/>
          <w:highlight w:val="white"/>
        </w:rPr>
      </w:pPr>
      <w:r w:rsidDel="00000000" w:rsidR="00000000" w:rsidRPr="00000000">
        <w:rPr>
          <w:smallCaps w:val="1"/>
          <w:color w:val="0d0d0d"/>
          <w:highlight w:val="white"/>
          <w:rtl w:val="0"/>
        </w:rPr>
        <w:t xml:space="preserve">Sean Plotkin</w:t>
      </w:r>
    </w:p>
    <w:p w:rsidR="00000000" w:rsidDel="00000000" w:rsidP="00000000" w:rsidRDefault="00000000" w:rsidRPr="00000000" w14:paraId="00000920">
      <w:pPr>
        <w:jc w:val="both"/>
        <w:rPr>
          <w:smallCaps w:val="1"/>
          <w:color w:val="0d0d0d"/>
          <w:highlight w:val="white"/>
        </w:rPr>
      </w:pPr>
      <w:r w:rsidDel="00000000" w:rsidR="00000000" w:rsidRPr="00000000">
        <w:rPr>
          <w:smallCaps w:val="1"/>
          <w:color w:val="0d0d0d"/>
          <w:highlight w:val="white"/>
          <w:rtl w:val="0"/>
        </w:rPr>
        <w:t xml:space="preserve">DBA Candidate</w:t>
      </w:r>
    </w:p>
    <w:p w:rsidR="00000000" w:rsidDel="00000000" w:rsidP="00000000" w:rsidRDefault="00000000" w:rsidRPr="00000000" w14:paraId="00000921">
      <w:pPr>
        <w:jc w:val="both"/>
        <w:rPr>
          <w:smallCaps w:val="1"/>
          <w:color w:val="0d0d0d"/>
          <w:highlight w:val="white"/>
        </w:rPr>
      </w:pPr>
      <w:r w:rsidDel="00000000" w:rsidR="00000000" w:rsidRPr="00000000">
        <w:rPr>
          <w:smallCaps w:val="1"/>
          <w:color w:val="0d0d0d"/>
          <w:highlight w:val="white"/>
          <w:rtl w:val="0"/>
        </w:rPr>
        <w:t xml:space="preserve">Swiss School of Business Management</w:t>
      </w:r>
      <w:r w:rsidDel="00000000" w:rsidR="00000000" w:rsidRPr="00000000">
        <w:br w:type="page"/>
      </w:r>
      <w:r w:rsidDel="00000000" w:rsidR="00000000" w:rsidRPr="00000000">
        <w:rPr>
          <w:rtl w:val="0"/>
        </w:rPr>
      </w:r>
    </w:p>
    <w:p w:rsidR="00000000" w:rsidDel="00000000" w:rsidP="00000000" w:rsidRDefault="00000000" w:rsidRPr="00000000" w14:paraId="00000922">
      <w:pPr>
        <w:jc w:val="center"/>
        <w:rPr>
          <w:smallCaps w:val="1"/>
          <w:color w:val="0d0d0d"/>
          <w:highlight w:val="white"/>
        </w:rPr>
      </w:pPr>
      <w:r w:rsidDel="00000000" w:rsidR="00000000" w:rsidRPr="00000000">
        <w:rPr>
          <w:smallCaps w:val="1"/>
          <w:color w:val="0d0d0d"/>
          <w:highlight w:val="white"/>
          <w:rtl w:val="0"/>
        </w:rPr>
        <w:t xml:space="preserve">APPENDIX B</w:t>
      </w:r>
    </w:p>
    <w:p w:rsidR="00000000" w:rsidDel="00000000" w:rsidP="00000000" w:rsidRDefault="00000000" w:rsidRPr="00000000" w14:paraId="00000923">
      <w:pPr>
        <w:jc w:val="center"/>
        <w:rPr>
          <w:smallCaps w:val="1"/>
          <w:color w:val="0d0d0d"/>
          <w:highlight w:val="white"/>
        </w:rPr>
      </w:pPr>
      <w:r w:rsidDel="00000000" w:rsidR="00000000" w:rsidRPr="00000000">
        <w:rPr>
          <w:smallCaps w:val="1"/>
          <w:color w:val="0d0d0d"/>
          <w:highlight w:val="white"/>
          <w:rtl w:val="0"/>
        </w:rPr>
        <w:t xml:space="preserve">INFORMED CONSENT</w:t>
      </w:r>
    </w:p>
    <w:p w:rsidR="00000000" w:rsidDel="00000000" w:rsidP="00000000" w:rsidRDefault="00000000" w:rsidRPr="00000000" w14:paraId="00000924">
      <w:pPr>
        <w:jc w:val="both"/>
        <w:rPr>
          <w:smallCaps w:val="1"/>
          <w:color w:val="0d0d0d"/>
          <w:highlight w:val="white"/>
        </w:rPr>
      </w:pPr>
      <w:r w:rsidDel="00000000" w:rsidR="00000000" w:rsidRPr="00000000">
        <w:rPr>
          <w:rtl w:val="0"/>
        </w:rPr>
      </w:r>
    </w:p>
    <w:p w:rsidR="00000000" w:rsidDel="00000000" w:rsidP="00000000" w:rsidRDefault="00000000" w:rsidRPr="00000000" w14:paraId="00000925">
      <w:pPr>
        <w:jc w:val="both"/>
        <w:rPr>
          <w:smallCaps w:val="1"/>
          <w:color w:val="0d0d0d"/>
          <w:highlight w:val="white"/>
        </w:rPr>
      </w:pPr>
      <w:r w:rsidDel="00000000" w:rsidR="00000000" w:rsidRPr="00000000">
        <w:rPr>
          <w:smallCaps w:val="1"/>
          <w:color w:val="0d0d0d"/>
          <w:highlight w:val="white"/>
          <w:rtl w:val="0"/>
        </w:rPr>
        <w:t xml:space="preserve">INFORMED CONSENT FORM</w:t>
      </w:r>
    </w:p>
    <w:p w:rsidR="00000000" w:rsidDel="00000000" w:rsidP="00000000" w:rsidRDefault="00000000" w:rsidRPr="00000000" w14:paraId="00000926">
      <w:pPr>
        <w:jc w:val="both"/>
        <w:rPr>
          <w:smallCaps w:val="1"/>
          <w:color w:val="0d0d0d"/>
          <w:highlight w:val="white"/>
        </w:rPr>
      </w:pPr>
      <w:r w:rsidDel="00000000" w:rsidR="00000000" w:rsidRPr="00000000">
        <w:rPr>
          <w:smallCaps w:val="1"/>
          <w:color w:val="0d0d0d"/>
          <w:highlight w:val="white"/>
          <w:rtl w:val="0"/>
        </w:rPr>
        <w:t xml:space="preserve">Study Title: Pioneering At-Home Health Tech: Entrepreneurial Roadmap to Wellness Innovation</w:t>
      </w:r>
    </w:p>
    <w:p w:rsidR="00000000" w:rsidDel="00000000" w:rsidP="00000000" w:rsidRDefault="00000000" w:rsidRPr="00000000" w14:paraId="00000927">
      <w:pPr>
        <w:jc w:val="both"/>
        <w:rPr>
          <w:smallCaps w:val="1"/>
          <w:color w:val="0d0d0d"/>
          <w:highlight w:val="white"/>
        </w:rPr>
      </w:pPr>
      <w:r w:rsidDel="00000000" w:rsidR="00000000" w:rsidRPr="00000000">
        <w:rPr>
          <w:smallCaps w:val="1"/>
          <w:color w:val="0d0d0d"/>
          <w:highlight w:val="white"/>
          <w:rtl w:val="0"/>
        </w:rPr>
        <w:t xml:space="preserve">Researcher: Sean Plotkin, DBA Candidate</w:t>
      </w:r>
    </w:p>
    <w:p w:rsidR="00000000" w:rsidDel="00000000" w:rsidP="00000000" w:rsidRDefault="00000000" w:rsidRPr="00000000" w14:paraId="00000928">
      <w:pPr>
        <w:jc w:val="both"/>
        <w:rPr>
          <w:smallCaps w:val="1"/>
          <w:color w:val="0d0d0d"/>
          <w:highlight w:val="white"/>
        </w:rPr>
      </w:pPr>
      <w:r w:rsidDel="00000000" w:rsidR="00000000" w:rsidRPr="00000000">
        <w:rPr>
          <w:smallCaps w:val="1"/>
          <w:color w:val="0d0d0d"/>
          <w:highlight w:val="white"/>
          <w:rtl w:val="0"/>
        </w:rPr>
        <w:t xml:space="preserve">Institution: Swiss School of Business Management</w:t>
      </w:r>
    </w:p>
    <w:p w:rsidR="00000000" w:rsidDel="00000000" w:rsidP="00000000" w:rsidRDefault="00000000" w:rsidRPr="00000000" w14:paraId="00000929">
      <w:pPr>
        <w:jc w:val="both"/>
        <w:rPr>
          <w:smallCaps w:val="1"/>
          <w:color w:val="0d0d0d"/>
          <w:highlight w:val="white"/>
        </w:rPr>
      </w:pPr>
      <w:r w:rsidDel="00000000" w:rsidR="00000000" w:rsidRPr="00000000">
        <w:rPr>
          <w:smallCaps w:val="1"/>
          <w:color w:val="0d0d0d"/>
          <w:highlight w:val="white"/>
          <w:rtl w:val="0"/>
        </w:rPr>
        <w:t xml:space="preserve">Contact: sean@reenergized.com | 562-420-8100</w:t>
      </w:r>
    </w:p>
    <w:p w:rsidR="00000000" w:rsidDel="00000000" w:rsidP="00000000" w:rsidRDefault="00000000" w:rsidRPr="00000000" w14:paraId="0000092A">
      <w:pPr>
        <w:jc w:val="both"/>
        <w:rPr>
          <w:smallCaps w:val="1"/>
          <w:color w:val="0d0d0d"/>
          <w:highlight w:val="white"/>
        </w:rPr>
      </w:pPr>
      <w:r w:rsidDel="00000000" w:rsidR="00000000" w:rsidRPr="00000000">
        <w:rPr>
          <w:rtl w:val="0"/>
        </w:rPr>
      </w:r>
    </w:p>
    <w:p w:rsidR="00000000" w:rsidDel="00000000" w:rsidP="00000000" w:rsidRDefault="00000000" w:rsidRPr="00000000" w14:paraId="0000092B">
      <w:pPr>
        <w:jc w:val="both"/>
        <w:rPr>
          <w:smallCaps w:val="1"/>
          <w:color w:val="0d0d0d"/>
          <w:highlight w:val="white"/>
        </w:rPr>
      </w:pPr>
      <w:r w:rsidDel="00000000" w:rsidR="00000000" w:rsidRPr="00000000">
        <w:rPr>
          <w:smallCaps w:val="1"/>
          <w:color w:val="0d0d0d"/>
          <w:highlight w:val="white"/>
          <w:rtl w:val="0"/>
        </w:rPr>
        <w:t xml:space="preserve">Purpose:</w:t>
      </w:r>
    </w:p>
    <w:p w:rsidR="00000000" w:rsidDel="00000000" w:rsidP="00000000" w:rsidRDefault="00000000" w:rsidRPr="00000000" w14:paraId="0000092C">
      <w:pPr>
        <w:jc w:val="both"/>
        <w:rPr>
          <w:smallCaps w:val="1"/>
          <w:color w:val="0d0d0d"/>
          <w:highlight w:val="white"/>
        </w:rPr>
      </w:pPr>
      <w:r w:rsidDel="00000000" w:rsidR="00000000" w:rsidRPr="00000000">
        <w:rPr>
          <w:smallCaps w:val="1"/>
          <w:color w:val="0d0d0d"/>
          <w:highlight w:val="white"/>
          <w:rtl w:val="0"/>
        </w:rPr>
        <w:t xml:space="preserve">This research investigates consumer insights on at-home health technologies. Your participation involves completing a 15-minute online survey to gather your perspectives on this topic.</w:t>
      </w:r>
    </w:p>
    <w:p w:rsidR="00000000" w:rsidDel="00000000" w:rsidP="00000000" w:rsidRDefault="00000000" w:rsidRPr="00000000" w14:paraId="0000092D">
      <w:pPr>
        <w:jc w:val="both"/>
        <w:rPr>
          <w:smallCaps w:val="1"/>
          <w:color w:val="0d0d0d"/>
          <w:highlight w:val="white"/>
        </w:rPr>
      </w:pPr>
      <w:r w:rsidDel="00000000" w:rsidR="00000000" w:rsidRPr="00000000">
        <w:rPr>
          <w:smallCaps w:val="1"/>
          <w:color w:val="0d0d0d"/>
          <w:highlight w:val="white"/>
          <w:rtl w:val="0"/>
        </w:rPr>
        <w:t xml:space="preserve">Participation:</w:t>
      </w:r>
    </w:p>
    <w:p w:rsidR="00000000" w:rsidDel="00000000" w:rsidP="00000000" w:rsidRDefault="00000000" w:rsidRPr="00000000" w14:paraId="0000092E">
      <w:pPr>
        <w:jc w:val="both"/>
        <w:rPr>
          <w:smallCaps w:val="1"/>
          <w:color w:val="0d0d0d"/>
          <w:highlight w:val="white"/>
        </w:rPr>
      </w:pPr>
      <w:r w:rsidDel="00000000" w:rsidR="00000000" w:rsidRPr="00000000">
        <w:rPr>
          <w:smallCaps w:val="1"/>
          <w:color w:val="0d0d0d"/>
          <w:highlight w:val="white"/>
          <w:rtl w:val="0"/>
        </w:rPr>
        <w:t xml:space="preserve">Participation is voluntary. You are free to withdraw at any time without any consequences.</w:t>
      </w:r>
    </w:p>
    <w:p w:rsidR="00000000" w:rsidDel="00000000" w:rsidP="00000000" w:rsidRDefault="00000000" w:rsidRPr="00000000" w14:paraId="0000092F">
      <w:pPr>
        <w:jc w:val="both"/>
        <w:rPr>
          <w:smallCaps w:val="1"/>
          <w:color w:val="0d0d0d"/>
          <w:highlight w:val="white"/>
        </w:rPr>
      </w:pPr>
      <w:r w:rsidDel="00000000" w:rsidR="00000000" w:rsidRPr="00000000">
        <w:rPr>
          <w:smallCaps w:val="1"/>
          <w:color w:val="0d0d0d"/>
          <w:highlight w:val="white"/>
          <w:rtl w:val="0"/>
        </w:rPr>
        <w:t xml:space="preserve">Confidentiality:</w:t>
      </w:r>
    </w:p>
    <w:p w:rsidR="00000000" w:rsidDel="00000000" w:rsidP="00000000" w:rsidRDefault="00000000" w:rsidRPr="00000000" w14:paraId="00000930">
      <w:pPr>
        <w:jc w:val="both"/>
        <w:rPr>
          <w:smallCaps w:val="1"/>
          <w:color w:val="0d0d0d"/>
          <w:highlight w:val="white"/>
        </w:rPr>
      </w:pPr>
      <w:r w:rsidDel="00000000" w:rsidR="00000000" w:rsidRPr="00000000">
        <w:rPr>
          <w:smallCaps w:val="1"/>
          <w:color w:val="0d0d0d"/>
          <w:highlight w:val="white"/>
          <w:rtl w:val="0"/>
        </w:rPr>
        <w:t xml:space="preserve">Your responses will remain confidential. Data will be securely stored and only accessible to the research team. Any publications or presentations will include aggregated data without any personal identifiers.</w:t>
      </w:r>
    </w:p>
    <w:p w:rsidR="00000000" w:rsidDel="00000000" w:rsidP="00000000" w:rsidRDefault="00000000" w:rsidRPr="00000000" w14:paraId="00000931">
      <w:pPr>
        <w:jc w:val="both"/>
        <w:rPr>
          <w:smallCaps w:val="1"/>
          <w:color w:val="0d0d0d"/>
          <w:highlight w:val="white"/>
        </w:rPr>
      </w:pPr>
      <w:r w:rsidDel="00000000" w:rsidR="00000000" w:rsidRPr="00000000">
        <w:rPr>
          <w:smallCaps w:val="1"/>
          <w:color w:val="0d0d0d"/>
          <w:highlight w:val="white"/>
          <w:rtl w:val="0"/>
        </w:rPr>
        <w:t xml:space="preserve">Risks and Benefits:</w:t>
      </w:r>
    </w:p>
    <w:p w:rsidR="00000000" w:rsidDel="00000000" w:rsidP="00000000" w:rsidRDefault="00000000" w:rsidRPr="00000000" w14:paraId="00000932">
      <w:pPr>
        <w:jc w:val="both"/>
        <w:rPr>
          <w:smallCaps w:val="1"/>
          <w:color w:val="0d0d0d"/>
          <w:highlight w:val="white"/>
        </w:rPr>
      </w:pPr>
      <w:r w:rsidDel="00000000" w:rsidR="00000000" w:rsidRPr="00000000">
        <w:rPr>
          <w:smallCaps w:val="1"/>
          <w:color w:val="0d0d0d"/>
          <w:highlight w:val="white"/>
          <w:rtl w:val="0"/>
        </w:rPr>
        <w:t xml:space="preserve">There are minimal risks, akin to everyday internet use. While there are no direct benefits to you, your input will significantly contribute to advancements in health technology research.</w:t>
      </w:r>
    </w:p>
    <w:p w:rsidR="00000000" w:rsidDel="00000000" w:rsidP="00000000" w:rsidRDefault="00000000" w:rsidRPr="00000000" w14:paraId="00000933">
      <w:pPr>
        <w:jc w:val="both"/>
        <w:rPr>
          <w:smallCaps w:val="1"/>
          <w:color w:val="0d0d0d"/>
          <w:highlight w:val="white"/>
        </w:rPr>
      </w:pPr>
      <w:r w:rsidDel="00000000" w:rsidR="00000000" w:rsidRPr="00000000">
        <w:rPr>
          <w:smallCaps w:val="1"/>
          <w:color w:val="0d0d0d"/>
          <w:highlight w:val="white"/>
          <w:rtl w:val="0"/>
        </w:rPr>
        <w:t xml:space="preserve">Consent for Use:</w:t>
      </w:r>
    </w:p>
    <w:p w:rsidR="00000000" w:rsidDel="00000000" w:rsidP="00000000" w:rsidRDefault="00000000" w:rsidRPr="00000000" w14:paraId="00000934">
      <w:pPr>
        <w:jc w:val="both"/>
        <w:rPr>
          <w:smallCaps w:val="1"/>
          <w:color w:val="0d0d0d"/>
          <w:highlight w:val="white"/>
        </w:rPr>
      </w:pPr>
      <w:r w:rsidDel="00000000" w:rsidR="00000000" w:rsidRPr="00000000">
        <w:rPr>
          <w:smallCaps w:val="1"/>
          <w:color w:val="0d0d0d"/>
          <w:highlight w:val="white"/>
          <w:rtl w:val="0"/>
        </w:rPr>
        <w:t xml:space="preserve">By participating, you authorize the use of your anonymized responses in related scholarly outputs.</w:t>
      </w:r>
    </w:p>
    <w:p w:rsidR="00000000" w:rsidDel="00000000" w:rsidP="00000000" w:rsidRDefault="00000000" w:rsidRPr="00000000" w14:paraId="00000935">
      <w:pPr>
        <w:jc w:val="both"/>
        <w:rPr>
          <w:smallCaps w:val="1"/>
          <w:color w:val="0d0d0d"/>
          <w:highlight w:val="white"/>
        </w:rPr>
      </w:pPr>
      <w:r w:rsidDel="00000000" w:rsidR="00000000" w:rsidRPr="00000000">
        <w:rPr>
          <w:smallCaps w:val="1"/>
          <w:color w:val="0d0d0d"/>
          <w:highlight w:val="white"/>
          <w:rtl w:val="0"/>
        </w:rPr>
        <w:t xml:space="preserve">Further Information and Concerns:</w:t>
      </w:r>
    </w:p>
    <w:p w:rsidR="00000000" w:rsidDel="00000000" w:rsidP="00000000" w:rsidRDefault="00000000" w:rsidRPr="00000000" w14:paraId="00000936">
      <w:pPr>
        <w:jc w:val="both"/>
        <w:rPr>
          <w:smallCaps w:val="1"/>
          <w:color w:val="0d0d0d"/>
          <w:highlight w:val="white"/>
        </w:rPr>
      </w:pPr>
      <w:r w:rsidDel="00000000" w:rsidR="00000000" w:rsidRPr="00000000">
        <w:rPr>
          <w:smallCaps w:val="1"/>
          <w:color w:val="0d0d0d"/>
          <w:highlight w:val="white"/>
          <w:rtl w:val="0"/>
        </w:rPr>
        <w:t xml:space="preserve">For questions about the study or your rights as a participant, please contact Sean Plotkin at sean@reenergized.com or 562-420-8100. Complaints or problems related to the study should be directed to the [Institutional Review Board contact details].</w:t>
      </w:r>
    </w:p>
    <w:p w:rsidR="00000000" w:rsidDel="00000000" w:rsidP="00000000" w:rsidRDefault="00000000" w:rsidRPr="00000000" w14:paraId="00000937">
      <w:pPr>
        <w:jc w:val="both"/>
        <w:rPr>
          <w:smallCaps w:val="1"/>
          <w:color w:val="0d0d0d"/>
          <w:highlight w:val="white"/>
        </w:rPr>
      </w:pPr>
      <w:r w:rsidDel="00000000" w:rsidR="00000000" w:rsidRPr="00000000">
        <w:rPr>
          <w:smallCaps w:val="1"/>
          <w:color w:val="0d0d0d"/>
          <w:highlight w:val="white"/>
          <w:rtl w:val="0"/>
        </w:rPr>
        <w:t xml:space="preserve">Agreement:</w:t>
      </w:r>
    </w:p>
    <w:p w:rsidR="00000000" w:rsidDel="00000000" w:rsidP="00000000" w:rsidRDefault="00000000" w:rsidRPr="00000000" w14:paraId="00000938">
      <w:pPr>
        <w:jc w:val="both"/>
        <w:rPr>
          <w:smallCaps w:val="1"/>
          <w:color w:val="0d0d0d"/>
          <w:highlight w:val="white"/>
        </w:rPr>
      </w:pPr>
      <w:r w:rsidDel="00000000" w:rsidR="00000000" w:rsidRPr="00000000">
        <w:rPr>
          <w:smallCaps w:val="1"/>
          <w:color w:val="0d0d0d"/>
          <w:highlight w:val="white"/>
          <w:rtl w:val="0"/>
        </w:rPr>
        <w:t xml:space="preserve">Clicking "I Agree" below indicates that you understand the terms of this study and consent to participate. You confirm you are over 18 and accept the use of your data as described.</w:t>
      </w:r>
    </w:p>
    <w:p w:rsidR="00000000" w:rsidDel="00000000" w:rsidP="00000000" w:rsidRDefault="00000000" w:rsidRPr="00000000" w14:paraId="00000939">
      <w:pPr>
        <w:jc w:val="both"/>
        <w:rPr>
          <w:smallCaps w:val="1"/>
          <w:color w:val="0d0d0d"/>
          <w:highlight w:val="white"/>
        </w:rPr>
      </w:pPr>
      <w:r w:rsidDel="00000000" w:rsidR="00000000" w:rsidRPr="00000000">
        <w:rPr>
          <w:smallCaps w:val="1"/>
          <w:color w:val="0d0d0d"/>
          <w:highlight w:val="white"/>
          <w:rtl w:val="0"/>
        </w:rPr>
        <w:t xml:space="preserve">[ ] I Agree</w:t>
      </w:r>
    </w:p>
    <w:p w:rsidR="00000000" w:rsidDel="00000000" w:rsidP="00000000" w:rsidRDefault="00000000" w:rsidRPr="00000000" w14:paraId="0000093A">
      <w:pPr>
        <w:jc w:val="both"/>
        <w:rPr>
          <w:smallCaps w:val="1"/>
          <w:color w:val="0d0d0d"/>
          <w:highlight w:val="white"/>
        </w:rPr>
      </w:pPr>
      <w:r w:rsidDel="00000000" w:rsidR="00000000" w:rsidRPr="00000000">
        <w:rPr>
          <w:smallCaps w:val="1"/>
          <w:color w:val="0d0d0d"/>
          <w:highlight w:val="white"/>
          <w:rtl w:val="0"/>
        </w:rPr>
        <w:t xml:space="preserve">[ ] I Do Not Agree</w:t>
      </w:r>
    </w:p>
    <w:p w:rsidR="00000000" w:rsidDel="00000000" w:rsidP="00000000" w:rsidRDefault="00000000" w:rsidRPr="00000000" w14:paraId="0000093B">
      <w:pPr>
        <w:jc w:val="both"/>
        <w:rPr>
          <w:smallCaps w:val="1"/>
          <w:color w:val="0d0d0d"/>
          <w:highlight w:val="white"/>
        </w:rPr>
      </w:pPr>
      <w:r w:rsidDel="00000000" w:rsidR="00000000" w:rsidRPr="00000000">
        <w:rPr>
          <w:rtl w:val="0"/>
        </w:rPr>
      </w:r>
    </w:p>
    <w:p w:rsidR="00000000" w:rsidDel="00000000" w:rsidP="00000000" w:rsidRDefault="00000000" w:rsidRPr="00000000" w14:paraId="0000093C">
      <w:pPr>
        <w:jc w:val="both"/>
        <w:rPr>
          <w:smallCaps w:val="1"/>
          <w:color w:val="0d0d0d"/>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93D">
      <w:pPr>
        <w:jc w:val="center"/>
        <w:rPr>
          <w:smallCaps w:val="1"/>
          <w:color w:val="0d0d0d"/>
          <w:highlight w:val="white"/>
        </w:rPr>
      </w:pPr>
      <w:r w:rsidDel="00000000" w:rsidR="00000000" w:rsidRPr="00000000">
        <w:rPr>
          <w:smallCaps w:val="1"/>
          <w:color w:val="0d0d0d"/>
          <w:highlight w:val="white"/>
          <w:rtl w:val="0"/>
        </w:rPr>
        <w:t xml:space="preserve">APPENDIX C</w:t>
      </w:r>
    </w:p>
    <w:p w:rsidR="00000000" w:rsidDel="00000000" w:rsidP="00000000" w:rsidRDefault="00000000" w:rsidRPr="00000000" w14:paraId="0000093E">
      <w:pPr>
        <w:jc w:val="center"/>
        <w:rPr>
          <w:smallCaps w:val="1"/>
          <w:color w:val="0d0d0d"/>
          <w:highlight w:val="white"/>
        </w:rPr>
      </w:pPr>
      <w:r w:rsidDel="00000000" w:rsidR="00000000" w:rsidRPr="00000000">
        <w:rPr>
          <w:smallCaps w:val="1"/>
          <w:color w:val="0d0d0d"/>
          <w:highlight w:val="white"/>
          <w:rtl w:val="0"/>
        </w:rPr>
        <w:t xml:space="preserve">INTERVIEW GUIDE</w:t>
      </w:r>
    </w:p>
    <w:p w:rsidR="00000000" w:rsidDel="00000000" w:rsidP="00000000" w:rsidRDefault="00000000" w:rsidRPr="00000000" w14:paraId="0000093F">
      <w:pPr>
        <w:jc w:val="both"/>
        <w:rPr>
          <w:smallCaps w:val="1"/>
          <w:color w:val="0d0d0d"/>
          <w:highlight w:val="white"/>
        </w:rPr>
      </w:pPr>
      <w:r w:rsidDel="00000000" w:rsidR="00000000" w:rsidRPr="00000000">
        <w:rPr>
          <w:rtl w:val="0"/>
        </w:rPr>
      </w:r>
    </w:p>
    <w:p w:rsidR="00000000" w:rsidDel="00000000" w:rsidP="00000000" w:rsidRDefault="00000000" w:rsidRPr="00000000" w14:paraId="00000940">
      <w:pPr>
        <w:jc w:val="both"/>
        <w:rPr>
          <w:smallCaps w:val="1"/>
          <w:color w:val="0d0d0d"/>
          <w:highlight w:val="white"/>
        </w:rPr>
      </w:pPr>
      <w:r w:rsidDel="00000000" w:rsidR="00000000" w:rsidRPr="00000000">
        <w:rPr>
          <w:smallCaps w:val="1"/>
          <w:color w:val="0d0d0d"/>
          <w:highlight w:val="white"/>
          <w:rtl w:val="0"/>
        </w:rPr>
        <w:t xml:space="preserve">Dear Participant,</w:t>
      </w:r>
    </w:p>
    <w:p w:rsidR="00000000" w:rsidDel="00000000" w:rsidP="00000000" w:rsidRDefault="00000000" w:rsidRPr="00000000" w14:paraId="00000941">
      <w:pPr>
        <w:jc w:val="both"/>
        <w:rPr>
          <w:smallCaps w:val="1"/>
          <w:color w:val="0d0d0d"/>
          <w:highlight w:val="white"/>
        </w:rPr>
      </w:pPr>
      <w:r w:rsidDel="00000000" w:rsidR="00000000" w:rsidRPr="00000000">
        <w:rPr>
          <w:smallCaps w:val="1"/>
          <w:color w:val="0d0d0d"/>
          <w:highlight w:val="white"/>
          <w:rtl w:val="0"/>
        </w:rPr>
        <w:t xml:space="preserve">Hi there! My name is Sean Plotkin, and I’m working on my Doctor of Business Administration (DBA) degree at SSBM. For my doctoral thesis, I’m exploring [  ], and need your help.</w:t>
      </w:r>
    </w:p>
    <w:p w:rsidR="00000000" w:rsidDel="00000000" w:rsidP="00000000" w:rsidRDefault="00000000" w:rsidRPr="00000000" w14:paraId="00000942">
      <w:pPr>
        <w:jc w:val="both"/>
        <w:rPr>
          <w:smallCaps w:val="1"/>
          <w:color w:val="0d0d0d"/>
          <w:highlight w:val="white"/>
        </w:rPr>
      </w:pPr>
      <w:r w:rsidDel="00000000" w:rsidR="00000000" w:rsidRPr="00000000">
        <w:rPr>
          <w:smallCaps w:val="1"/>
          <w:color w:val="0d0d0d"/>
          <w:highlight w:val="white"/>
          <w:rtl w:val="0"/>
        </w:rPr>
        <w:t xml:space="preserve">I’ve chosen to write my thesis on the subject of personalized wellness and wellness data due to the explosive advances being made in longevity (anti-aging), artificial intelligence, and the data-collecting/analytical tools…</w:t>
      </w:r>
    </w:p>
    <w:p w:rsidR="00000000" w:rsidDel="00000000" w:rsidP="00000000" w:rsidRDefault="00000000" w:rsidRPr="00000000" w14:paraId="00000943">
      <w:pPr>
        <w:jc w:val="both"/>
        <w:rPr>
          <w:smallCaps w:val="1"/>
          <w:color w:val="0d0d0d"/>
          <w:highlight w:val="white"/>
        </w:rPr>
      </w:pPr>
      <w:r w:rsidDel="00000000" w:rsidR="00000000" w:rsidRPr="00000000">
        <w:rPr>
          <w:smallCaps w:val="1"/>
          <w:color w:val="0d0d0d"/>
          <w:highlight w:val="white"/>
          <w:rtl w:val="0"/>
        </w:rPr>
        <w:t xml:space="preserve">I’ve put together a survey to gather insights about these advancements from people like you, and I would be grateful if you could take a few minutes to share your thoughts. All of your answers will be kept confidential.</w:t>
      </w:r>
    </w:p>
    <w:p w:rsidR="00000000" w:rsidDel="00000000" w:rsidP="00000000" w:rsidRDefault="00000000" w:rsidRPr="00000000" w14:paraId="00000944">
      <w:pPr>
        <w:jc w:val="both"/>
        <w:rPr>
          <w:smallCaps w:val="1"/>
          <w:color w:val="0d0d0d"/>
          <w:highlight w:val="white"/>
        </w:rPr>
      </w:pPr>
      <w:r w:rsidDel="00000000" w:rsidR="00000000" w:rsidRPr="00000000">
        <w:rPr>
          <w:smallCaps w:val="1"/>
          <w:color w:val="0d0d0d"/>
          <w:highlight w:val="white"/>
          <w:rtl w:val="0"/>
        </w:rPr>
        <w:t xml:space="preserve">Thank you for your time and help with my research. Your input is invaluable, and I’m excited to analyze the results to discover new ideas about health and wellness.</w:t>
      </w:r>
    </w:p>
    <w:p w:rsidR="00000000" w:rsidDel="00000000" w:rsidP="00000000" w:rsidRDefault="00000000" w:rsidRPr="00000000" w14:paraId="00000945">
      <w:pPr>
        <w:jc w:val="both"/>
        <w:rPr>
          <w:smallCaps w:val="1"/>
          <w:color w:val="0d0d0d"/>
          <w:highlight w:val="white"/>
        </w:rPr>
      </w:pPr>
      <w:r w:rsidDel="00000000" w:rsidR="00000000" w:rsidRPr="00000000">
        <w:rPr>
          <w:smallCaps w:val="1"/>
          <w:color w:val="0d0d0d"/>
          <w:highlight w:val="white"/>
          <w:rtl w:val="0"/>
        </w:rPr>
        <w:t xml:space="preserve">Sean Plotkin, DBA Candidate</w:t>
      </w:r>
    </w:p>
    <w:p w:rsidR="00000000" w:rsidDel="00000000" w:rsidP="00000000" w:rsidRDefault="00000000" w:rsidRPr="00000000" w14:paraId="00000946">
      <w:pPr>
        <w:jc w:val="both"/>
        <w:rPr>
          <w:smallCaps w:val="1"/>
          <w:color w:val="0d0d0d"/>
          <w:highlight w:val="white"/>
        </w:rPr>
      </w:pPr>
      <w:r w:rsidDel="00000000" w:rsidR="00000000" w:rsidRPr="00000000">
        <w:rPr>
          <w:rtl w:val="0"/>
        </w:rPr>
      </w:r>
    </w:p>
    <w:p w:rsidR="00000000" w:rsidDel="00000000" w:rsidP="00000000" w:rsidRDefault="00000000" w:rsidRPr="00000000" w14:paraId="00000947">
      <w:pPr>
        <w:jc w:val="both"/>
        <w:rPr>
          <w:smallCaps w:val="1"/>
          <w:color w:val="0d0d0d"/>
          <w:highlight w:val="white"/>
        </w:rPr>
      </w:pPr>
      <w:r w:rsidDel="00000000" w:rsidR="00000000" w:rsidRPr="00000000">
        <w:rPr>
          <w:rtl w:val="0"/>
        </w:rPr>
      </w:r>
    </w:p>
    <w:p w:rsidR="00000000" w:rsidDel="00000000" w:rsidP="00000000" w:rsidRDefault="00000000" w:rsidRPr="00000000" w14:paraId="00000948">
      <w:pPr>
        <w:jc w:val="both"/>
        <w:rPr/>
      </w:pPr>
      <w:r w:rsidDel="00000000" w:rsidR="00000000" w:rsidRPr="00000000">
        <w:br w:type="page"/>
      </w:r>
      <w:r w:rsidDel="00000000" w:rsidR="00000000" w:rsidRPr="00000000">
        <w:rPr>
          <w:rtl w:val="0"/>
        </w:rPr>
      </w:r>
    </w:p>
    <w:p w:rsidR="00000000" w:rsidDel="00000000" w:rsidP="00000000" w:rsidRDefault="00000000" w:rsidRPr="00000000" w14:paraId="00000949">
      <w:pPr>
        <w:ind w:left="1440" w:firstLine="720"/>
        <w:jc w:val="both"/>
        <w:rPr>
          <w:color w:val="c0504d"/>
        </w:rPr>
      </w:pPr>
      <w:r w:rsidDel="00000000" w:rsidR="00000000" w:rsidRPr="00000000">
        <w:rPr>
          <w:color w:val="c0504d"/>
          <w:rtl w:val="0"/>
        </w:rPr>
        <w:t xml:space="preserve">APPENDIX D: KEY BIOMARKERS &amp; WELLNESS INDICATORS </w:t>
      </w:r>
    </w:p>
    <w:p w:rsidR="00000000" w:rsidDel="00000000" w:rsidP="00000000" w:rsidRDefault="00000000" w:rsidRPr="00000000" w14:paraId="0000094A">
      <w:pPr>
        <w:jc w:val="both"/>
        <w:rPr/>
      </w:pPr>
      <w:r w:rsidDel="00000000" w:rsidR="00000000" w:rsidRPr="00000000">
        <w:rPr>
          <w:rtl w:val="0"/>
        </w:rPr>
      </w:r>
    </w:p>
    <w:p w:rsidR="00000000" w:rsidDel="00000000" w:rsidP="00000000" w:rsidRDefault="00000000" w:rsidRPr="00000000" w14:paraId="0000094B">
      <w:pPr>
        <w:spacing w:after="280" w:before="280" w:lineRule="auto"/>
        <w:rPr>
          <w:b w:val="1"/>
          <w:color w:val="c0504d"/>
          <w:sz w:val="27"/>
          <w:szCs w:val="27"/>
        </w:rPr>
      </w:pPr>
      <w:r w:rsidDel="00000000" w:rsidR="00000000" w:rsidRPr="00000000">
        <w:rPr>
          <w:b w:val="1"/>
          <w:color w:val="c0504d"/>
          <w:sz w:val="27"/>
          <w:szCs w:val="27"/>
          <w:rtl w:val="0"/>
        </w:rPr>
        <w:t xml:space="preserve">Emerging Biomarkers and Functional Indicators in Preventive Health Tech</w:t>
      </w:r>
    </w:p>
    <w:p w:rsidR="00000000" w:rsidDel="00000000" w:rsidP="00000000" w:rsidRDefault="00000000" w:rsidRPr="00000000" w14:paraId="0000094C">
      <w:pPr>
        <w:numPr>
          <w:ilvl w:val="0"/>
          <w:numId w:val="24"/>
        </w:numPr>
        <w:spacing w:after="0" w:before="280" w:lineRule="auto"/>
        <w:ind w:left="720" w:hanging="360"/>
        <w:rPr>
          <w:color w:val="c0504d"/>
        </w:rPr>
      </w:pPr>
      <w:r w:rsidDel="00000000" w:rsidR="00000000" w:rsidRPr="00000000">
        <w:rPr>
          <w:b w:val="1"/>
          <w:color w:val="c0504d"/>
          <w:rtl w:val="0"/>
        </w:rPr>
        <w:t xml:space="preserve">HRV (Heart Rate Variability)</w:t>
      </w:r>
      <w:r w:rsidDel="00000000" w:rsidR="00000000" w:rsidRPr="00000000">
        <w:rPr>
          <w:color w:val="c0504d"/>
          <w:rtl w:val="0"/>
        </w:rPr>
        <w:t xml:space="preserve"> – A measure of the variation in time between heartbeats, used as an indicator of stress, recovery, and autonomic nervous system balance.</w:t>
      </w:r>
    </w:p>
    <w:p w:rsidR="00000000" w:rsidDel="00000000" w:rsidP="00000000" w:rsidRDefault="00000000" w:rsidRPr="00000000" w14:paraId="0000094D">
      <w:pPr>
        <w:numPr>
          <w:ilvl w:val="0"/>
          <w:numId w:val="24"/>
        </w:numPr>
        <w:spacing w:after="0" w:before="0" w:lineRule="auto"/>
        <w:ind w:left="720" w:hanging="360"/>
        <w:rPr>
          <w:color w:val="c0504d"/>
        </w:rPr>
      </w:pPr>
      <w:r w:rsidDel="00000000" w:rsidR="00000000" w:rsidRPr="00000000">
        <w:rPr>
          <w:b w:val="1"/>
          <w:color w:val="c0504d"/>
          <w:rtl w:val="0"/>
        </w:rPr>
        <w:t xml:space="preserve">VO₂ max (Maximal Oxygen Uptake)</w:t>
      </w:r>
      <w:r w:rsidDel="00000000" w:rsidR="00000000" w:rsidRPr="00000000">
        <w:rPr>
          <w:color w:val="c0504d"/>
          <w:rtl w:val="0"/>
        </w:rPr>
        <w:t xml:space="preserve"> – The maximum rate at which the body uses oxygen during exercise, often used to assess cardiovascular fitness and endurance.</w:t>
      </w:r>
    </w:p>
    <w:p w:rsidR="00000000" w:rsidDel="00000000" w:rsidP="00000000" w:rsidRDefault="00000000" w:rsidRPr="00000000" w14:paraId="0000094E">
      <w:pPr>
        <w:numPr>
          <w:ilvl w:val="0"/>
          <w:numId w:val="24"/>
        </w:numPr>
        <w:spacing w:after="0" w:before="0" w:lineRule="auto"/>
        <w:ind w:left="720" w:hanging="360"/>
        <w:rPr>
          <w:color w:val="c0504d"/>
        </w:rPr>
      </w:pPr>
      <w:r w:rsidDel="00000000" w:rsidR="00000000" w:rsidRPr="00000000">
        <w:rPr>
          <w:b w:val="1"/>
          <w:color w:val="c0504d"/>
          <w:rtl w:val="0"/>
        </w:rPr>
        <w:t xml:space="preserve">REM / Deep Sleep</w:t>
      </w:r>
      <w:r w:rsidDel="00000000" w:rsidR="00000000" w:rsidRPr="00000000">
        <w:rPr>
          <w:color w:val="c0504d"/>
          <w:rtl w:val="0"/>
        </w:rPr>
        <w:t xml:space="preserve"> – Stages of sleep associated with memory consolidation and physical restoration, commonly tracked to assess sleep quality and recovery.</w:t>
      </w:r>
    </w:p>
    <w:p w:rsidR="00000000" w:rsidDel="00000000" w:rsidP="00000000" w:rsidRDefault="00000000" w:rsidRPr="00000000" w14:paraId="0000094F">
      <w:pPr>
        <w:numPr>
          <w:ilvl w:val="0"/>
          <w:numId w:val="24"/>
        </w:numPr>
        <w:spacing w:after="0" w:before="0" w:lineRule="auto"/>
        <w:ind w:left="720" w:hanging="360"/>
        <w:rPr>
          <w:color w:val="c0504d"/>
        </w:rPr>
      </w:pPr>
      <w:r w:rsidDel="00000000" w:rsidR="00000000" w:rsidRPr="00000000">
        <w:rPr>
          <w:b w:val="1"/>
          <w:color w:val="c0504d"/>
          <w:rtl w:val="0"/>
        </w:rPr>
        <w:t xml:space="preserve">Sleep Latency</w:t>
      </w:r>
      <w:r w:rsidDel="00000000" w:rsidR="00000000" w:rsidRPr="00000000">
        <w:rPr>
          <w:color w:val="c0504d"/>
          <w:rtl w:val="0"/>
        </w:rPr>
        <w:t xml:space="preserve"> – The time it takes to fall asleep, reflecting sleep efficiency and potential stress or circadian disruption.</w:t>
      </w:r>
    </w:p>
    <w:p w:rsidR="00000000" w:rsidDel="00000000" w:rsidP="00000000" w:rsidRDefault="00000000" w:rsidRPr="00000000" w14:paraId="00000950">
      <w:pPr>
        <w:numPr>
          <w:ilvl w:val="0"/>
          <w:numId w:val="24"/>
        </w:numPr>
        <w:spacing w:after="0" w:before="0" w:lineRule="auto"/>
        <w:ind w:left="720" w:hanging="360"/>
        <w:rPr>
          <w:color w:val="c0504d"/>
        </w:rPr>
      </w:pPr>
      <w:r w:rsidDel="00000000" w:rsidR="00000000" w:rsidRPr="00000000">
        <w:rPr>
          <w:b w:val="1"/>
          <w:color w:val="c0504d"/>
          <w:rtl w:val="0"/>
        </w:rPr>
        <w:t xml:space="preserve">Biological Age Estimators</w:t>
      </w:r>
      <w:r w:rsidDel="00000000" w:rsidR="00000000" w:rsidRPr="00000000">
        <w:rPr>
          <w:color w:val="c0504d"/>
          <w:rtl w:val="0"/>
        </w:rPr>
        <w:t xml:space="preserve"> – Tools that calculate physiological age based on biomarkers (rather than chronological age), used to evaluate longevity and cellular health.</w:t>
      </w:r>
    </w:p>
    <w:p w:rsidR="00000000" w:rsidDel="00000000" w:rsidP="00000000" w:rsidRDefault="00000000" w:rsidRPr="00000000" w14:paraId="00000951">
      <w:pPr>
        <w:numPr>
          <w:ilvl w:val="0"/>
          <w:numId w:val="24"/>
        </w:numPr>
        <w:spacing w:after="0" w:before="0" w:lineRule="auto"/>
        <w:ind w:left="720" w:hanging="360"/>
        <w:rPr>
          <w:color w:val="c0504d"/>
        </w:rPr>
      </w:pPr>
      <w:r w:rsidDel="00000000" w:rsidR="00000000" w:rsidRPr="00000000">
        <w:rPr>
          <w:b w:val="1"/>
          <w:color w:val="c0504d"/>
          <w:rtl w:val="0"/>
        </w:rPr>
        <w:t xml:space="preserve">Inflammatory Markers</w:t>
      </w:r>
      <w:r w:rsidDel="00000000" w:rsidR="00000000" w:rsidRPr="00000000">
        <w:rPr>
          <w:color w:val="c0504d"/>
          <w:rtl w:val="0"/>
        </w:rPr>
        <w:t xml:space="preserve"> – Biomolecules like CRP or cytokines used to assess chronic inflammation, which is linked to aging, disease risk, and recovery.</w:t>
      </w:r>
    </w:p>
    <w:p w:rsidR="00000000" w:rsidDel="00000000" w:rsidP="00000000" w:rsidRDefault="00000000" w:rsidRPr="00000000" w14:paraId="00000952">
      <w:pPr>
        <w:numPr>
          <w:ilvl w:val="0"/>
          <w:numId w:val="24"/>
        </w:numPr>
        <w:spacing w:after="0" w:before="0" w:lineRule="auto"/>
        <w:ind w:left="720" w:hanging="360"/>
        <w:rPr>
          <w:color w:val="c0504d"/>
        </w:rPr>
      </w:pPr>
      <w:r w:rsidDel="00000000" w:rsidR="00000000" w:rsidRPr="00000000">
        <w:rPr>
          <w:b w:val="1"/>
          <w:color w:val="c0504d"/>
          <w:rtl w:val="0"/>
        </w:rPr>
        <w:t xml:space="preserve">PBM (Photobiomodulation) Response</w:t>
      </w:r>
      <w:r w:rsidDel="00000000" w:rsidR="00000000" w:rsidRPr="00000000">
        <w:rPr>
          <w:color w:val="c0504d"/>
          <w:rtl w:val="0"/>
        </w:rPr>
        <w:t xml:space="preserve"> – Cellular and systemic response to red or near-infrared light therapy, used for recovery, inflammation, and performance enhancement.</w:t>
      </w:r>
    </w:p>
    <w:p w:rsidR="00000000" w:rsidDel="00000000" w:rsidP="00000000" w:rsidRDefault="00000000" w:rsidRPr="00000000" w14:paraId="00000953">
      <w:pPr>
        <w:numPr>
          <w:ilvl w:val="0"/>
          <w:numId w:val="24"/>
        </w:numPr>
        <w:spacing w:after="0" w:before="0" w:lineRule="auto"/>
        <w:ind w:left="720" w:hanging="360"/>
        <w:rPr>
          <w:color w:val="c0504d"/>
        </w:rPr>
      </w:pPr>
      <w:r w:rsidDel="00000000" w:rsidR="00000000" w:rsidRPr="00000000">
        <w:rPr>
          <w:b w:val="1"/>
          <w:color w:val="c0504d"/>
          <w:rtl w:val="0"/>
        </w:rPr>
        <w:t xml:space="preserve">Frailty Index</w:t>
      </w:r>
      <w:r w:rsidDel="00000000" w:rsidR="00000000" w:rsidRPr="00000000">
        <w:rPr>
          <w:color w:val="c0504d"/>
          <w:rtl w:val="0"/>
        </w:rPr>
        <w:t xml:space="preserve"> – A composite score indicating physiological vulnerability and resilience, often used in aging and longevity studies.</w:t>
      </w:r>
    </w:p>
    <w:p w:rsidR="00000000" w:rsidDel="00000000" w:rsidP="00000000" w:rsidRDefault="00000000" w:rsidRPr="00000000" w14:paraId="00000954">
      <w:pPr>
        <w:numPr>
          <w:ilvl w:val="0"/>
          <w:numId w:val="24"/>
        </w:numPr>
        <w:spacing w:after="0" w:before="0" w:lineRule="auto"/>
        <w:ind w:left="720" w:hanging="360"/>
        <w:rPr>
          <w:color w:val="c0504d"/>
        </w:rPr>
      </w:pPr>
      <w:r w:rsidDel="00000000" w:rsidR="00000000" w:rsidRPr="00000000">
        <w:rPr>
          <w:b w:val="1"/>
          <w:color w:val="c0504d"/>
          <w:rtl w:val="0"/>
        </w:rPr>
        <w:t xml:space="preserve">Microplastic Exposure</w:t>
      </w:r>
      <w:r w:rsidDel="00000000" w:rsidR="00000000" w:rsidRPr="00000000">
        <w:rPr>
          <w:color w:val="c0504d"/>
          <w:rtl w:val="0"/>
        </w:rPr>
        <w:t xml:space="preserve"> – The presence of synthetic polymers in the body, emerging as a concern for environmental toxin load and systemic inflammation.</w:t>
      </w:r>
    </w:p>
    <w:p w:rsidR="00000000" w:rsidDel="00000000" w:rsidP="00000000" w:rsidRDefault="00000000" w:rsidRPr="00000000" w14:paraId="00000955">
      <w:pPr>
        <w:numPr>
          <w:ilvl w:val="0"/>
          <w:numId w:val="24"/>
        </w:numPr>
        <w:spacing w:after="280" w:before="0" w:lineRule="auto"/>
        <w:ind w:left="720" w:hanging="360"/>
        <w:rPr>
          <w:color w:val="c0504d"/>
        </w:rPr>
      </w:pPr>
      <w:r w:rsidDel="00000000" w:rsidR="00000000" w:rsidRPr="00000000">
        <w:rPr>
          <w:b w:val="1"/>
          <w:color w:val="c0504d"/>
          <w:rtl w:val="0"/>
        </w:rPr>
        <w:t xml:space="preserve">Glucose Variability</w:t>
      </w:r>
      <w:r w:rsidDel="00000000" w:rsidR="00000000" w:rsidRPr="00000000">
        <w:rPr>
          <w:color w:val="c0504d"/>
          <w:rtl w:val="0"/>
        </w:rPr>
        <w:t xml:space="preserve"> – Fluctuations in blood glucose levels throughout the day, an emerging metric in metabolic health, energy, and disease prevention.</w:t>
      </w:r>
    </w:p>
    <w:p w:rsidR="00000000" w:rsidDel="00000000" w:rsidP="00000000" w:rsidRDefault="00000000" w:rsidRPr="00000000" w14:paraId="00000956">
      <w:pPr>
        <w:jc w:val="both"/>
        <w:rPr/>
      </w:pPr>
      <w:r w:rsidDel="00000000" w:rsidR="00000000" w:rsidRPr="00000000">
        <w:rPr>
          <w:rtl w:val="0"/>
        </w:rPr>
      </w:r>
    </w:p>
    <w:p w:rsidR="00000000" w:rsidDel="00000000" w:rsidP="00000000" w:rsidRDefault="00000000" w:rsidRPr="00000000" w14:paraId="00000957">
      <w:pPr>
        <w:jc w:val="both"/>
        <w:rPr/>
      </w:pPr>
      <w:r w:rsidDel="00000000" w:rsidR="00000000" w:rsidRPr="00000000">
        <w:rPr>
          <w:rtl w:val="0"/>
        </w:rPr>
      </w:r>
    </w:p>
    <w:p w:rsidR="00000000" w:rsidDel="00000000" w:rsidP="00000000" w:rsidRDefault="00000000" w:rsidRPr="00000000" w14:paraId="00000958">
      <w:pPr>
        <w:jc w:val="both"/>
        <w:rPr/>
      </w:pPr>
      <w:r w:rsidDel="00000000" w:rsidR="00000000" w:rsidRPr="00000000">
        <w:rPr>
          <w:rtl w:val="0"/>
        </w:rPr>
      </w:r>
    </w:p>
    <w:p w:rsidR="00000000" w:rsidDel="00000000" w:rsidP="00000000" w:rsidRDefault="00000000" w:rsidRPr="00000000" w14:paraId="00000959">
      <w:pPr>
        <w:jc w:val="both"/>
        <w:rPr/>
      </w:pPr>
      <w:r w:rsidDel="00000000" w:rsidR="00000000" w:rsidRPr="00000000">
        <w:rPr>
          <w:rtl w:val="0"/>
        </w:rPr>
      </w:r>
    </w:p>
    <w:p w:rsidR="00000000" w:rsidDel="00000000" w:rsidP="00000000" w:rsidRDefault="00000000" w:rsidRPr="00000000" w14:paraId="0000095A">
      <w:pPr>
        <w:jc w:val="both"/>
        <w:rPr/>
      </w:pPr>
      <w:r w:rsidDel="00000000" w:rsidR="00000000" w:rsidRPr="00000000">
        <w:rPr>
          <w:rtl w:val="0"/>
        </w:rPr>
      </w:r>
    </w:p>
    <w:p w:rsidR="00000000" w:rsidDel="00000000" w:rsidP="00000000" w:rsidRDefault="00000000" w:rsidRPr="00000000" w14:paraId="0000095B">
      <w:pPr>
        <w:jc w:val="both"/>
        <w:rPr/>
      </w:pPr>
      <w:r w:rsidDel="00000000" w:rsidR="00000000" w:rsidRPr="00000000">
        <w:rPr>
          <w:rtl w:val="0"/>
        </w:rPr>
      </w:r>
    </w:p>
    <w:p w:rsidR="00000000" w:rsidDel="00000000" w:rsidP="00000000" w:rsidRDefault="00000000" w:rsidRPr="00000000" w14:paraId="0000095C">
      <w:pPr>
        <w:jc w:val="both"/>
        <w:rPr/>
      </w:pPr>
      <w:r w:rsidDel="00000000" w:rsidR="00000000" w:rsidRPr="00000000">
        <w:rPr>
          <w:rtl w:val="0"/>
        </w:rPr>
      </w:r>
    </w:p>
    <w:p w:rsidR="00000000" w:rsidDel="00000000" w:rsidP="00000000" w:rsidRDefault="00000000" w:rsidRPr="00000000" w14:paraId="0000095D">
      <w:pPr>
        <w:jc w:val="both"/>
        <w:rPr/>
      </w:pPr>
      <w:r w:rsidDel="00000000" w:rsidR="00000000" w:rsidRPr="00000000">
        <w:rPr>
          <w:rtl w:val="0"/>
        </w:rPr>
      </w:r>
    </w:p>
    <w:p w:rsidR="00000000" w:rsidDel="00000000" w:rsidP="00000000" w:rsidRDefault="00000000" w:rsidRPr="00000000" w14:paraId="0000095E">
      <w:pPr>
        <w:jc w:val="both"/>
        <w:rPr/>
      </w:pPr>
      <w:r w:rsidDel="00000000" w:rsidR="00000000" w:rsidRPr="00000000">
        <w:rPr>
          <w:rtl w:val="0"/>
        </w:rPr>
      </w:r>
    </w:p>
    <w:p w:rsidR="00000000" w:rsidDel="00000000" w:rsidP="00000000" w:rsidRDefault="00000000" w:rsidRPr="00000000" w14:paraId="0000095F">
      <w:pPr>
        <w:jc w:val="both"/>
        <w:rPr/>
      </w:pPr>
      <w:r w:rsidDel="00000000" w:rsidR="00000000" w:rsidRPr="00000000">
        <w:rPr>
          <w:rtl w:val="0"/>
        </w:rPr>
      </w:r>
    </w:p>
    <w:p w:rsidR="00000000" w:rsidDel="00000000" w:rsidP="00000000" w:rsidRDefault="00000000" w:rsidRPr="00000000" w14:paraId="00000960">
      <w:pPr>
        <w:jc w:val="both"/>
        <w:rPr/>
      </w:pPr>
      <w:r w:rsidDel="00000000" w:rsidR="00000000" w:rsidRPr="00000000">
        <w:rPr>
          <w:rtl w:val="0"/>
        </w:rPr>
      </w:r>
    </w:p>
    <w:p w:rsidR="00000000" w:rsidDel="00000000" w:rsidP="00000000" w:rsidRDefault="00000000" w:rsidRPr="00000000" w14:paraId="00000961">
      <w:pPr>
        <w:jc w:val="both"/>
        <w:rPr/>
      </w:pPr>
      <w:r w:rsidDel="00000000" w:rsidR="00000000" w:rsidRPr="00000000">
        <w:rPr>
          <w:rtl w:val="0"/>
        </w:rPr>
      </w:r>
    </w:p>
    <w:p w:rsidR="00000000" w:rsidDel="00000000" w:rsidP="00000000" w:rsidRDefault="00000000" w:rsidRPr="00000000" w14:paraId="00000962">
      <w:pPr>
        <w:jc w:val="both"/>
        <w:rPr/>
      </w:pPr>
      <w:r w:rsidDel="00000000" w:rsidR="00000000" w:rsidRPr="00000000">
        <w:rPr>
          <w:rtl w:val="0"/>
        </w:rPr>
      </w:r>
    </w:p>
    <w:p w:rsidR="00000000" w:rsidDel="00000000" w:rsidP="00000000" w:rsidRDefault="00000000" w:rsidRPr="00000000" w14:paraId="00000963">
      <w:pPr>
        <w:jc w:val="both"/>
        <w:rPr/>
      </w:pPr>
      <w:r w:rsidDel="00000000" w:rsidR="00000000" w:rsidRPr="00000000">
        <w:rPr>
          <w:rtl w:val="0"/>
        </w:rPr>
      </w:r>
    </w:p>
    <w:p w:rsidR="00000000" w:rsidDel="00000000" w:rsidP="00000000" w:rsidRDefault="00000000" w:rsidRPr="00000000" w14:paraId="00000964">
      <w:pPr>
        <w:jc w:val="both"/>
        <w:rPr/>
      </w:pPr>
      <w:r w:rsidDel="00000000" w:rsidR="00000000" w:rsidRPr="00000000">
        <w:rPr>
          <w:rtl w:val="0"/>
        </w:rPr>
      </w:r>
    </w:p>
    <w:p w:rsidR="00000000" w:rsidDel="00000000" w:rsidP="00000000" w:rsidRDefault="00000000" w:rsidRPr="00000000" w14:paraId="00000965">
      <w:pPr>
        <w:jc w:val="both"/>
        <w:rPr/>
      </w:pPr>
      <w:r w:rsidDel="00000000" w:rsidR="00000000" w:rsidRPr="00000000">
        <w:rPr>
          <w:rtl w:val="0"/>
        </w:rPr>
      </w:r>
    </w:p>
    <w:p w:rsidR="00000000" w:rsidDel="00000000" w:rsidP="00000000" w:rsidRDefault="00000000" w:rsidRPr="00000000" w14:paraId="00000966">
      <w:pPr>
        <w:jc w:val="both"/>
        <w:rPr/>
      </w:pPr>
      <w:r w:rsidDel="00000000" w:rsidR="00000000" w:rsidRPr="00000000">
        <w:rPr>
          <w:rtl w:val="0"/>
        </w:rPr>
      </w:r>
    </w:p>
    <w:p w:rsidR="00000000" w:rsidDel="00000000" w:rsidP="00000000" w:rsidRDefault="00000000" w:rsidRPr="00000000" w14:paraId="00000967">
      <w:pPr>
        <w:jc w:val="both"/>
        <w:rPr/>
      </w:pPr>
      <w:r w:rsidDel="00000000" w:rsidR="00000000" w:rsidRPr="00000000">
        <w:rPr>
          <w:rtl w:val="0"/>
        </w:rPr>
      </w:r>
    </w:p>
    <w:p w:rsidR="00000000" w:rsidDel="00000000" w:rsidP="00000000" w:rsidRDefault="00000000" w:rsidRPr="00000000" w14:paraId="00000968">
      <w:pPr>
        <w:jc w:val="both"/>
        <w:rPr/>
      </w:pPr>
      <w:r w:rsidDel="00000000" w:rsidR="00000000" w:rsidRPr="00000000">
        <w:rPr>
          <w:rtl w:val="0"/>
        </w:rPr>
      </w:r>
    </w:p>
    <w:p w:rsidR="00000000" w:rsidDel="00000000" w:rsidP="00000000" w:rsidRDefault="00000000" w:rsidRPr="00000000" w14:paraId="00000969">
      <w:pPr>
        <w:jc w:val="center"/>
        <w:rPr>
          <w:b w:val="1"/>
        </w:rPr>
      </w:pPr>
      <w:r w:rsidDel="00000000" w:rsidR="00000000" w:rsidRPr="00000000">
        <w:rPr>
          <w:rtl w:val="0"/>
        </w:rPr>
      </w:r>
    </w:p>
    <w:p w:rsidR="00000000" w:rsidDel="00000000" w:rsidP="00000000" w:rsidRDefault="00000000" w:rsidRPr="00000000" w14:paraId="0000096A">
      <w:pPr>
        <w:jc w:val="center"/>
        <w:rPr>
          <w:b w:val="1"/>
        </w:rPr>
      </w:pPr>
      <w:r w:rsidDel="00000000" w:rsidR="00000000" w:rsidRPr="00000000">
        <w:rPr>
          <w:b w:val="1"/>
          <w:rtl w:val="0"/>
        </w:rPr>
        <w:t xml:space="preserve">Annexure</w:t>
      </w:r>
    </w:p>
    <w:p w:rsidR="00000000" w:rsidDel="00000000" w:rsidP="00000000" w:rsidRDefault="00000000" w:rsidRPr="00000000" w14:paraId="0000096B">
      <w:pPr>
        <w:jc w:val="center"/>
        <w:rPr>
          <w:b w:val="1"/>
        </w:rPr>
      </w:pPr>
      <w:r w:rsidDel="00000000" w:rsidR="00000000" w:rsidRPr="00000000">
        <w:rPr>
          <w:rtl w:val="0"/>
        </w:rPr>
      </w:r>
    </w:p>
    <w:p w:rsidR="00000000" w:rsidDel="00000000" w:rsidP="00000000" w:rsidRDefault="00000000" w:rsidRPr="00000000" w14:paraId="0000096C">
      <w:pPr>
        <w:rPr>
          <w:b w:val="1"/>
        </w:rPr>
      </w:pPr>
      <w:r w:rsidDel="00000000" w:rsidR="00000000" w:rsidRPr="00000000">
        <w:rPr>
          <w:b w:val="1"/>
          <w:rtl w:val="0"/>
        </w:rPr>
        <w:t xml:space="preserve">Annexure 1: Descriptive statistics of the calibrated values </w:t>
      </w:r>
    </w:p>
    <w:p w:rsidR="00000000" w:rsidDel="00000000" w:rsidP="00000000" w:rsidRDefault="00000000" w:rsidRPr="00000000" w14:paraId="0000096D">
      <w:pPr>
        <w:rPr>
          <w:b w:val="1"/>
        </w:rPr>
      </w:pPr>
      <w:r w:rsidDel="00000000" w:rsidR="00000000" w:rsidRPr="00000000">
        <w:rPr>
          <w:rtl w:val="0"/>
        </w:rPr>
      </w:r>
    </w:p>
    <w:p w:rsidR="00000000" w:rsidDel="00000000" w:rsidP="00000000" w:rsidRDefault="00000000" w:rsidRPr="00000000" w14:paraId="0000096E">
      <w:pPr>
        <w:rPr>
          <w:b w:val="1"/>
        </w:rPr>
      </w:pPr>
      <w:r w:rsidDel="00000000" w:rsidR="00000000" w:rsidRPr="00000000">
        <w:rPr>
          <w:b w:val="1"/>
        </w:rPr>
        <w:drawing>
          <wp:inline distB="0" distT="0" distL="0" distR="0">
            <wp:extent cx="5188217" cy="1320868"/>
            <wp:effectExtent b="0" l="0" r="0" t="0"/>
            <wp:docPr descr="A screenshot of a computer&#10;&#10;AI-generated content may be incorrect." id="1976358314" name="image4.png"/>
            <a:graphic>
              <a:graphicData uri="http://schemas.openxmlformats.org/drawingml/2006/picture">
                <pic:pic>
                  <pic:nvPicPr>
                    <pic:cNvPr descr="A screenshot of a computer&#10;&#10;AI-generated content may be incorrect." id="0" name="image4.png"/>
                    <pic:cNvPicPr preferRelativeResize="0"/>
                  </pic:nvPicPr>
                  <pic:blipFill>
                    <a:blip r:embed="rId13"/>
                    <a:srcRect b="0" l="0" r="0" t="0"/>
                    <a:stretch>
                      <a:fillRect/>
                    </a:stretch>
                  </pic:blipFill>
                  <pic:spPr>
                    <a:xfrm>
                      <a:off x="0" y="0"/>
                      <a:ext cx="5188217" cy="1320868"/>
                    </a:xfrm>
                    <a:prstGeom prst="rect"/>
                    <a:ln/>
                  </pic:spPr>
                </pic:pic>
              </a:graphicData>
            </a:graphic>
          </wp:inline>
        </w:drawing>
      </w:r>
      <w:r w:rsidDel="00000000" w:rsidR="00000000" w:rsidRPr="00000000">
        <w:rPr>
          <w:rtl w:val="0"/>
        </w:rPr>
      </w:r>
    </w:p>
    <w:p w:rsidR="00000000" w:rsidDel="00000000" w:rsidP="00000000" w:rsidRDefault="00000000" w:rsidRPr="00000000" w14:paraId="0000096F">
      <w:pPr>
        <w:rPr>
          <w:b w:val="1"/>
        </w:rPr>
      </w:pPr>
      <w:r w:rsidDel="00000000" w:rsidR="00000000" w:rsidRPr="00000000">
        <w:rPr>
          <w:rtl w:val="0"/>
        </w:rPr>
      </w:r>
    </w:p>
    <w:p w:rsidR="00000000" w:rsidDel="00000000" w:rsidP="00000000" w:rsidRDefault="00000000" w:rsidRPr="00000000" w14:paraId="00000970">
      <w:pPr>
        <w:rPr>
          <w:b w:val="1"/>
          <w:highlight w:val="white"/>
        </w:rPr>
      </w:pPr>
      <w:r w:rsidDel="00000000" w:rsidR="00000000" w:rsidRPr="00000000">
        <w:rPr>
          <w:b w:val="1"/>
          <w:highlight w:val="white"/>
          <w:rtl w:val="0"/>
        </w:rPr>
        <w:t xml:space="preserve">Annexure 2: The Truth Table </w:t>
      </w:r>
    </w:p>
    <w:p w:rsidR="00000000" w:rsidDel="00000000" w:rsidP="00000000" w:rsidRDefault="00000000" w:rsidRPr="00000000" w14:paraId="00000971">
      <w:pPr>
        <w:rPr>
          <w:smallCaps w:val="1"/>
          <w:color w:val="0d0d0d"/>
          <w:highlight w:val="white"/>
        </w:rPr>
      </w:pPr>
      <w:r w:rsidDel="00000000" w:rsidR="00000000" w:rsidRPr="00000000">
        <w:rPr>
          <w:rtl w:val="0"/>
        </w:rPr>
      </w:r>
    </w:p>
    <w:tbl>
      <w:tblPr>
        <w:tblStyle w:val="Table12"/>
        <w:tblW w:w="5554.999999999999" w:type="dxa"/>
        <w:jc w:val="left"/>
        <w:tblInd w:w="-60.0" w:type="dxa"/>
        <w:tblLayout w:type="fixed"/>
        <w:tblLook w:val="0400"/>
      </w:tblPr>
      <w:tblGrid>
        <w:gridCol w:w="354"/>
        <w:gridCol w:w="398"/>
        <w:gridCol w:w="404"/>
        <w:gridCol w:w="451"/>
        <w:gridCol w:w="401"/>
        <w:gridCol w:w="348"/>
        <w:gridCol w:w="412"/>
        <w:gridCol w:w="345"/>
        <w:gridCol w:w="407"/>
        <w:gridCol w:w="656"/>
        <w:gridCol w:w="509"/>
        <w:gridCol w:w="870"/>
        <w:tblGridChange w:id="0">
          <w:tblGrid>
            <w:gridCol w:w="354"/>
            <w:gridCol w:w="398"/>
            <w:gridCol w:w="404"/>
            <w:gridCol w:w="451"/>
            <w:gridCol w:w="401"/>
            <w:gridCol w:w="348"/>
            <w:gridCol w:w="412"/>
            <w:gridCol w:w="345"/>
            <w:gridCol w:w="407"/>
            <w:gridCol w:w="656"/>
            <w:gridCol w:w="509"/>
            <w:gridCol w:w="870"/>
          </w:tblGrid>
        </w:tblGridChange>
      </w:tblGrid>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BI1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EE1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FC1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HM1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PE1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PI1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PR1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SI1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TC1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number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AUT1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0b3b2" w:val="clear"/>
            <w:tcMar>
              <w:top w:w="60.0" w:type="dxa"/>
              <w:left w:w="60.0" w:type="dxa"/>
              <w:bottom w:w="60.0" w:type="dxa"/>
              <w:right w:w="60.0" w:type="dxa"/>
            </w:tcMar>
          </w:tcPr>
          <w:p w:rsidR="00000000" w:rsidDel="00000000" w:rsidP="00000000" w:rsidRDefault="00000000" w:rsidRPr="00000000" w14:paraId="000009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raw consist.</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0.997275</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0.996823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0.996721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0.996696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0.996534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0.996142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0.99612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0.995871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0.995757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0.995663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9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9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0.995651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0.995631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0.995597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0.995587</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0.995456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0.995451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0.995421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0.995396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0.995359</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0.995348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0.995295</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0.995145</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0.995087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0.994783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0.994611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0.994564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0.994484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0.994483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0.994328</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0.994315</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0.99411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0.994077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A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A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0.994036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0.993982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0.993968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0.993962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0.993914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0.993884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0.993834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0.993803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0.993788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0.993769</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0.993744</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0.993639</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0.993536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0.993424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0.993364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0.993301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0.993075</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0.992937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0.992852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0.9926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0.990628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B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B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0.989908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0.989666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0.989478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0.989346</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0.989329</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0.989307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0.988542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0.988319</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0.988206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0.988131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0.987991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0.987713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0.987705</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0.987496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0.987294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0.98717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0.987108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0.986992</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0.986982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0.986766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0.986718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C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C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0.986696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0.98668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0.986422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0.986195</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0.98552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0.985108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0.98447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0.983347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0.983225</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0.982962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0.982839</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0.98221</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0.982193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0.982131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0.981827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0.981702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0.981016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0.979942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0.979526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0.978323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0.975449</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0.974981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D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D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0.974969</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0.974301</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0.973988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0.97353</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0.971522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0.970443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0.967184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0.96286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0.961878</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0.961462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0.955882</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0.951165</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0.944444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0.928503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0.92367</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0.915684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0.913679</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0.904934</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0.896654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0.888176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0.878214</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E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E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0.8736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F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0.858786</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F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0.85853</w:t>
            </w:r>
            <w:r w:rsidDel="00000000" w:rsidR="00000000" w:rsidRPr="00000000">
              <w:rPr>
                <w:rtl w:val="0"/>
              </w:rPr>
            </w:r>
          </w:p>
        </w:tc>
      </w:tr>
      <w:tr>
        <w:trPr>
          <w:cantSplit w:val="0"/>
          <w:trHeight w:val="165" w:hRule="atLeast"/>
          <w:tblHeader w:val="0"/>
        </w:trPr>
        <w:tc>
          <w:tcPr>
            <w:tcBorders>
              <w:top w:color="000000" w:space="0" w:sz="6" w:val="single"/>
              <w:left w:color="000000" w:space="0" w:sz="6" w:val="single"/>
              <w:bottom w:color="000000" w:space="0" w:sz="6" w:val="single"/>
              <w:right w:color="000000" w:space="0" w:sz="6" w:val="single"/>
            </w:tcBorders>
            <w:shd w:fill="d4d4d4" w:val="clear"/>
            <w:tcMar>
              <w:top w:w="60.0" w:type="dxa"/>
              <w:left w:w="60.0" w:type="dxa"/>
              <w:bottom w:w="60.0" w:type="dxa"/>
              <w:right w:w="60.0" w:type="dxa"/>
            </w:tcMar>
          </w:tcPr>
          <w:p w:rsidR="00000000" w:rsidDel="00000000" w:rsidP="00000000" w:rsidRDefault="00000000" w:rsidRPr="00000000" w14:paraId="00000F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1"/>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F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1"/>
                <w:strike w:val="0"/>
                <w:color w:val="000000"/>
                <w:sz w:val="15"/>
                <w:szCs w:val="15"/>
                <w:u w:val="none"/>
                <w:shd w:fill="auto" w:val="clear"/>
                <w:vertAlign w:val="baseline"/>
                <w:rtl w:val="0"/>
              </w:rPr>
              <w:t xml:space="preserve">0.838031</w:t>
            </w:r>
            <w:r w:rsidDel="00000000" w:rsidR="00000000" w:rsidRPr="00000000">
              <w:rPr>
                <w:rtl w:val="0"/>
              </w:rPr>
            </w:r>
          </w:p>
        </w:tc>
      </w:tr>
    </w:tbl>
    <w:p w:rsidR="00000000" w:rsidDel="00000000" w:rsidP="00000000" w:rsidRDefault="00000000" w:rsidRPr="00000000" w14:paraId="00000F2A">
      <w:pPr>
        <w:spacing w:after="280" w:before="280" w:lineRule="auto"/>
        <w:rPr>
          <w:b w:val="1"/>
        </w:rPr>
      </w:pPr>
      <w:r w:rsidDel="00000000" w:rsidR="00000000" w:rsidRPr="00000000">
        <w:rPr>
          <w:b w:val="1"/>
          <w:color w:val="000000"/>
          <w:rtl w:val="0"/>
        </w:rPr>
        <w:t xml:space="preserve">Annexure 3: Coincidence Table</w:t>
      </w:r>
      <w:r w:rsidDel="00000000" w:rsidR="00000000" w:rsidRPr="00000000">
        <w:rPr>
          <w:rtl w:val="0"/>
        </w:rPr>
      </w:r>
    </w:p>
    <w:tbl>
      <w:tblPr>
        <w:tblStyle w:val="Table13"/>
        <w:tblW w:w="6520.0" w:type="dxa"/>
        <w:jc w:val="left"/>
        <w:tblInd w:w="-115.0" w:type="dxa"/>
        <w:tblLayout w:type="fixed"/>
        <w:tblLook w:val="0400"/>
      </w:tblPr>
      <w:tblGrid>
        <w:gridCol w:w="5460"/>
        <w:gridCol w:w="1060"/>
        <w:tblGridChange w:id="0">
          <w:tblGrid>
            <w:gridCol w:w="5460"/>
            <w:gridCol w:w="106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coincidence(AUT1,BI1,EE1,FC1,HM1,PE1,PI1,PR1,SI1,TC1)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2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0.133451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2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0.178554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3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0.142188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3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0.138852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3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0.140327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3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0.15208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3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0.155265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3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0.135369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3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0.140689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3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0.134046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4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0.137759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4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0.144312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4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0.141347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4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0.147574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4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0.160927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4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0.141335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4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0.149667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4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0.142876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5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0.188843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5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0.180099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5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0.191668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5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0.155447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5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0.148159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5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0.162255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5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0.147693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5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0.140965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0.165032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0.149491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0.205482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0.157197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0.186965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0.144974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0.178986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6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0.149323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0.180513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0.163907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0.156483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0.161367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0.165906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0.152779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0.261346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7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0.139479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0.148309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0.185719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0.147946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0.157991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0.161918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0.147951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0.160769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8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0.138559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0.163439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0.139683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0.145431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0.145336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0.146005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0.150229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9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0.197434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0.18873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0.200666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0.188263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0.19013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0.165271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0.174887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0.167363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A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0.280767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0.268276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0.178371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0.285951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0.174467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0.166425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0.176283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B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0.162141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0.276111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0.169302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0.18239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0.171906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0.163047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0.154507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0.159737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C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0.193196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0.201506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0.163065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0.193837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0.180473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0.219859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0.164646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0.212162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D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0.207335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0.158271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0.221804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0.195028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0.191699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0.156853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0.191163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E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0.170453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F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0.161684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F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0.168222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F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0.172206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F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0.168054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F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0.171957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F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0.313933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F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0.169938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FF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0.21672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F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0.164432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0.166061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0.172541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0.148847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0.26332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0.157914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0.186491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0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0.149038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0.198376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0.150412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0.187349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0.20057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0.170479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0.158274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0.190505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1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0.14863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0.157918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0.203504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0.196606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0.158728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0.169311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0.173137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0.193522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2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0.163202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0.173962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0.277837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0.213815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0.161958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0.153983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0.148384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3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0.155893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0.151311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0.157127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0.146295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0.200444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0.176562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0.187995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0.150083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4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0.162706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0.15411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0.169857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0.193503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0.171285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0.149728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0.155884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0.146195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5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0.164414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0.173848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0.173525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0.15315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0.194963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0.16255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0.272976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0.197208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6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0.173023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0.149003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0.187625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0.220559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0.152629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0.166817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0.155784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0.156001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7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0.146862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0.156999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0.195944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0.155886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0.170998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0.148508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0.172913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0.218861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8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0.234308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0.180107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0.218569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0.191827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0.203491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0.193479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0.177003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0.344003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9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0.323654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0.344923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0.203329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0.192877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0.280404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0.205032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0.333821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0.190503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A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0.23833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0.192455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0.182307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0.185578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0.230661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0.235383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0.22642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0.183187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B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0.174033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0.214893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0.267545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0.193198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0.237095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0.201279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C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0.195563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0.318122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0.204289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0.205658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0.209018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0.157925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0.199329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0.21274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D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0.202776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0.176508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0.188059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0.288722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0.307746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0.294898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0.17131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0.158713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E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0.209987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0.176024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0.186107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0.177943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0.183069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0.29684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0.284249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0.200147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0F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0.203633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0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0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0.304384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0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0.17437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0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0.215348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0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0.220053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0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0.202545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0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0.208423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0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0.159027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0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0.216793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0.170113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0.252903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0.168602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0.177552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0.158713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0.231146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0.210517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1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0.184096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0.198492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0.216252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0.280069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0.182313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0.210472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0.224191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0.174592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2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0.182282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0.187587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0.17978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0.184824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0.175512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0.170171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0.301511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3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0.168727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0.285485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0.181339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0.31121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0.231904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0.285154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0.188054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0.181621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4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0.175518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0.215795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0.186918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0.201788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0.232817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0.297139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0.291396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0.288149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5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0.333433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0.206362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0.189567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0.173305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0.191851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0.242119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0.185375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0.164637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6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0.201278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0.167473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0.212198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0.284451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0.172801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0.221899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0.224049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0.22886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7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0.171292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0.181921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0.172839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0.179005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0.23157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0.182522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0.206741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0.240405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8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0.187453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0.184215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0.30149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0.178841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0.154077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0.202622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0.203723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0.174923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9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0.171872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0.284666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0.213651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0.274956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0.201581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0.166373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0.178669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A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0.293916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0.175776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0.157016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0.177859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0.157132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0.164108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0.160912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0.197583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B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0.175178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0.174184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0.203081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0.181185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0.174585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0.187812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0.233342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0.205953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C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0.21041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0.19581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0.209472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0.337014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0.207028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0.182449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0.168345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0.185002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D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0.180383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E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0.224712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E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0.191356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E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0.196919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E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0.156721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E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0.288855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E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0.23731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E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0.18421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E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0.167181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F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0.173395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F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0.158131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F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0.209934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F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0.164837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F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0.198438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F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0.214489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F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0.166715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1F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0.199724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1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0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0.15682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0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0.167456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0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0.207838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0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0.182905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0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0.218934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0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0.172968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0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0.188159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0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0.297099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0.184089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0.161874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0.223434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0.163637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0.160165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0.198496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0.165077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1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0.17352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0.187058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0.170186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0.173959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0.187634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0.232935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0.209207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2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0.176895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0.306536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0.226825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0.354684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0.217668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0.169475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0.212573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0.228352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3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0.214475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0.187438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0.310364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0.340031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0.321556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0.189787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0.201666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0.18874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4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0.32454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0.306341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0.335175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0.185942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0.222188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0.227573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0.281206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0.202225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5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0.246713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0.238906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0.294715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0.224096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0.199734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0.192503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0.194711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0.307479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6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0.31009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0.314342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0.214381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0.25639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0.198088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0.307204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0.18328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0.234117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7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0.254152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0.235245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0.183987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0.196026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0.182571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0.248827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0.231187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0.249448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8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0.203493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0.218216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0.203693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0.371391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0.344212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0.378045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0.219735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0.203145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9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0.218106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0.232593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0.360728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0.208742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0.196967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0.195846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0.247445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0.246696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A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0.238386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0.25341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0.283594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0.207586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0.252447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0.213615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0.211452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0.206594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B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0.338255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0.222216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0.215176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0.318273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0.187952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0.30614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0.327664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0.315116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C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0.238015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0.277009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0.331153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0.235288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0.306748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0.201343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0.320683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0.284198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D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0.31273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0.320539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0.287006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0.207076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0.264223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0.316119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0.385546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0.31454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E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0.240999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0.182895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0.233922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0.252268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0.236903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0.205512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0.355444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0.379733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2F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0.357861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2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0.205302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0.217974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0.207083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0.366298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0.345319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0.369799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0.207666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0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0.264326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0.251397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0.255063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0.344218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0.23615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0.295099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0.354152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0.259138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1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0.223202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0.214059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0.216908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0.354978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0.354447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0.349626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0.248846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0.254143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2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0.214655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0.222771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0.178757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0.167739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0.223166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0.21811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0.165322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0.21067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3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0.227279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0.231567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0.201965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0.191703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0.324883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0.209559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0.31113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4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0.361711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0.198882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0.223917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0.186533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0.214058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0.203246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0.318378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5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0.181875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0.19907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0.174665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0.177795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0.216125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0.212645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0.307634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0.221678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6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0.217825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0.194298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0.325395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0.235491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0.322487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0.213141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0.183562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0.178723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7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0.217892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0.189043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0.194609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0.190528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0.187659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0.198248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0.311235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0.299677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8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0.302562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0.371124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0.321631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0.193566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0.354694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0.181946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0.188232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0.217406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9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0.203016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0.189034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0.25405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0.236037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0.258706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0.229883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0.201668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0.187154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A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0.202078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0.218774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0.250327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0.227767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0.22773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0.261594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0.168412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B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0.23404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0.184929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0.373366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0.240737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0.376927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0.225691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0.252334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0.29135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C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0.201129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0.220292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0.28542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0.220553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0.194697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0.226531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0.199903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0.197169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D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0.187608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0.225277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0.194245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0.192533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0.298323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0.237709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0.308744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0.209775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E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0.303702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0.248172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0.224499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0.198653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0.207107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0.251261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0.213236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0.193362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3F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0.19137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3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0.358858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0.297253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0.22962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0.245044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0.188875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0.34122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0.213352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0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0.240482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1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0.260071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1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0.244506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1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0.20595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1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0.185382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1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0.217267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1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0.189228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1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0.209472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1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0.250699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0.236609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0.254841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0.168689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0.208604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0.197098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0.257084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0.233145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2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0.347573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3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0.414386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3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0.353558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3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0.283613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3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0.236075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3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0.319765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3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0.221941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3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0.349696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3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0.347041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4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0.345688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4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0.215905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4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0.26995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4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0.242199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4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0.326629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4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0.363981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4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0.314332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4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0.253599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5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0.347854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5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0.36842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5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0.335218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5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0.203738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5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0.220423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5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0.352492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5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0.231022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5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0.279844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6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0.375987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6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0.265253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6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0.39534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6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0.498259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6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0.420392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6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0.238178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6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0.33872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6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0.273664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7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0.393086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7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0.333442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7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0.392676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7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0.393107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7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0.402604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7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0.293151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7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0.241902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7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0.394003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8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0.316466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8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0.456516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8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0.386517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8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0.289573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8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0.40118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8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0.385527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8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0.40845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8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0.404316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9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0.379909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9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0.285743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9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0.35084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9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0.244998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9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0.412055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9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0.251437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9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0.387216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9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0.393181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A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0.378338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A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0.220324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A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0.45405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A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0.385116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A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0.315235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A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0.383779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A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0.427723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A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0.354317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B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0.384289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B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0.395463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B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0.367549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B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0.226813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B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0.255343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B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0.252302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B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0.293501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B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0.317422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C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0.273709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C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0.220371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C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0.273827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C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0.325931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C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0.432563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C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0.373926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coincidence(AUT1,BI1,EE1,FC1)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C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0.340202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C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0.230555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D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0.245893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D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0.251269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D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0.231352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D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0.206319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D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0.289921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D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0.346669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D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0.246946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D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0.322324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E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0.213096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E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0.340996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E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0.342291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E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E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0.350539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E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0.298659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E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0.411029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E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0.216092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F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0.39674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F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0.201734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F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0.278404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F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0.330655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F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0.22086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F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0.408932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F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0.208067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4F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0.350373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4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0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0.331901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0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0.335562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0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0.393037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0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0.198089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0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0.264884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0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0.20062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0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0.254298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0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0.276182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1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0.226972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1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0.246161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1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0.392399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1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0.419387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1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0.411419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1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0.239322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1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0.223719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1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0.244945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2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0.29684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2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0.239065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2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0.229116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2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0.217941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2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0.395774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2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0.265778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2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0.253419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2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0.379666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3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0.311216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3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0.239823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3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0.211432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3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0.405308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3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0.225821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3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0.284496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3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0.20959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3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0.273779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4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0.213345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4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0.331153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4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0.277148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4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0.337416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4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0.36515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4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0.227002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4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0.374859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4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0.272246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0.214901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0.328758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0.204584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0.259479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0.318607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0.304494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0.378805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5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0.280158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0.257523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0.24098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0.233746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0.286508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0.238502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0.263325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0.202968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6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0.382184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7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0.228077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7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0.387304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7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0.219186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7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0.381684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7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0.203629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7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0.273746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7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0.267056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7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0.253918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8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0.278271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8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0.230878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8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0.329826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8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0.246727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8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0.26211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8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0.38016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8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0.239099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8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0.426421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9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0.235772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9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0.395486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9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0.48936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9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0.24882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9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0.180103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9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0.229766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9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0.255314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9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0.405984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A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0.228273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A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0.350419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A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0.198479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A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0.327242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A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0.220807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A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0.255547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A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0.216346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A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0.270702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B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0.226256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B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0.268032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B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0.264579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B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0.278539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B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0.348101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B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0.307914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B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0.230327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B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0.274813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C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0.240772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C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0.347266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C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0.236258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C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0.23904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C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0.378215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coincidence(PI1,PR1,SI1,TC1)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C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0.249088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C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0.443858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C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0.459931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0.56694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0.391365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0.470365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coincidence(AUT1,EE1,FC1)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0.383683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0.425372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0.420297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0.413912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D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0.44802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0.369018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0.266683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0.494244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0.393744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0.359872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0.50734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0.446837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E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0.342521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F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0.539891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F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0.406653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F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0.52951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F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0.478437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F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0.240846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F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0.277284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F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0.432987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coincidence(AUT1,BI1,EE1)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5F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0.516745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5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0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0.471543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0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0.523468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0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0.474846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0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0.317482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0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0.431036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0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0.441812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coincidence(AUT1,BI1,FC1)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0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0.427651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0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0.451267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1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0.442799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1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0.641308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1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0.433135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1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1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0.220929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1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1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0.501606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1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1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0.388027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1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1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0.335723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1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1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0.244347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1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2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0.297236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2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2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0.289121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2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2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0.453914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2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2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0.277785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2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2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0.356338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2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2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0.240329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2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2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0.37181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2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2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0.31029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2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3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0.371727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3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3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0.283587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3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3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0.26893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3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3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0.451198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3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3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0.343201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3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3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0.545486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3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3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0.453325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3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3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0.431574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3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4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0.381983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4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4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0.438691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4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4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0.455979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4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4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0.275305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4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4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0.250629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4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4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0.419246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4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4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0.655781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4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4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0.391975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4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5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0.557211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5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5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0.252773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5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5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0.431092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5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5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0.346277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5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5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0.427859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5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5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0.292135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5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5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0.462207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5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5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0.262192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5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6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0.468358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6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6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0.268698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6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6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0.433528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6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6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0.544274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6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6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0.255962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6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6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0.261389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6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6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0.448079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6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6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0.319306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6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7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0.381402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7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7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0.317682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7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7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0.453367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7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7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0.406297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7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7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0.313209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7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7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0.292159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7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7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0.478978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7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7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0.433324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7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8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0.310332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8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8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0.462582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8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8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0.301257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8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8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0.454136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8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8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0.281628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8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coincidence(BI1,EE1,FC1)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8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0.378546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8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8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0.442975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8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8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0.345327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8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9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0.485925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9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9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0.357995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9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9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0.365891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9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9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0.390027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9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9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0.408637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9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9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0.311655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9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9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0.273137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9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9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0.352382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9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A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0.421034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A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A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0.433564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A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A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0.281278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A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A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0.371998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A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A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0.269834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A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A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0.443606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A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A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0.453087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A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A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0.432721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A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B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0.495586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B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coincidence(PI1,PR1,SI1)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B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0.330758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B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B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0.226904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B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coincidence(PI1,PR1,TC1)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B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0.364148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B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coincidence(PI1,SI1,TC1)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B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0.285445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B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coincidence(PR1,SI1,TC1)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B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0.432105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B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B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0.519917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B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coincidence(AUT1,EE1)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B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0.609585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B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C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0.639884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C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C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0.639961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C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C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0.755073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C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coincidence(AUT1,BI1)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C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0.757969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C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coincidence(AUT1,FC1)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C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0.4946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C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C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0.600844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C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coincidence(AUT1,PI1)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C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0.552167</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C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C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0.66742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C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D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0.615981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coincidence(EE1,FC1)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D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0.521736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D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D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0.480134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D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D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0.52443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D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coincidence(BI1,FC1)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D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0.508366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D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D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0.440352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D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D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0.654752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D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D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0.537612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D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E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0.510639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E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E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0.301734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E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E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0.609504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E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E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0.575509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E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E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0.52778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E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E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0.465254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E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coincidence(BI1,EE1)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E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0.587369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E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E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0.486822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E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F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0.331729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F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F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0.505915</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F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coincidence(EE1,SI1)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F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0.500322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F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F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0.780424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F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F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0.526619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F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F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0.637524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F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coincidence(HM1,PE1)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F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0.36693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F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6F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0.685014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6F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0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0.31684</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70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coincidence(PE1,TC1)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0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0.613582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70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0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0.546622</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705">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coincidence(BI1,PR1)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06">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0.730183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707">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coincidence(FC1,PE1)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08">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0.793741</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709">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coincidence(PI1,SI1)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0A">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0.436829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70B">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0C">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0.446849</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70D">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coincidence(PR1,SI1)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0E">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0.569266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70F">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coincidence(BI1,HM1)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10">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0.597096</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71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coincidence(PR1,TC1)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12">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0.62383</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1713">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coincidence(SI1,TC1)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1714">
            <w:pPr>
              <w:jc w:val="right"/>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0.58156</w:t>
            </w:r>
          </w:p>
        </w:tc>
      </w:tr>
    </w:tbl>
    <w:p w:rsidR="00000000" w:rsidDel="00000000" w:rsidP="00000000" w:rsidRDefault="00000000" w:rsidRPr="00000000" w14:paraId="00001715">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1716">
      <w:pPr>
        <w:jc w:val="both"/>
        <w:rPr/>
      </w:pPr>
      <w:r w:rsidDel="00000000" w:rsidR="00000000" w:rsidRPr="00000000">
        <w:rPr>
          <w:rtl w:val="0"/>
        </w:rPr>
      </w:r>
    </w:p>
    <w:p w:rsidR="00000000" w:rsidDel="00000000" w:rsidP="00000000" w:rsidRDefault="00000000" w:rsidRPr="00000000" w14:paraId="00001717">
      <w:pPr>
        <w:jc w:val="both"/>
        <w:rPr/>
      </w:pPr>
      <w:r w:rsidDel="00000000" w:rsidR="00000000" w:rsidRPr="00000000">
        <w:rPr>
          <w:rtl w:val="0"/>
        </w:rPr>
      </w:r>
    </w:p>
    <w:p w:rsidR="00000000" w:rsidDel="00000000" w:rsidP="00000000" w:rsidRDefault="00000000" w:rsidRPr="00000000" w14:paraId="00001718">
      <w:pPr>
        <w:jc w:val="both"/>
        <w:rPr/>
      </w:pPr>
      <w:r w:rsidDel="00000000" w:rsidR="00000000" w:rsidRPr="00000000">
        <w:rPr>
          <w:rtl w:val="0"/>
        </w:rPr>
      </w:r>
    </w:p>
    <w:p w:rsidR="00000000" w:rsidDel="00000000" w:rsidP="00000000" w:rsidRDefault="00000000" w:rsidRPr="00000000" w14:paraId="00001719">
      <w:pPr>
        <w:jc w:val="both"/>
        <w:rPr/>
      </w:pPr>
      <w:r w:rsidDel="00000000" w:rsidR="00000000" w:rsidRPr="00000000">
        <w:rPr>
          <w:rtl w:val="0"/>
        </w:rPr>
      </w:r>
    </w:p>
    <w:p w:rsidR="00000000" w:rsidDel="00000000" w:rsidP="00000000" w:rsidRDefault="00000000" w:rsidRPr="00000000" w14:paraId="0000171A">
      <w:pPr>
        <w:jc w:val="both"/>
        <w:rPr>
          <w:smallCaps w:val="1"/>
          <w:color w:val="0d0d0d"/>
          <w:highlight w:val="white"/>
        </w:rPr>
      </w:pPr>
      <w:r w:rsidDel="00000000" w:rsidR="00000000" w:rsidRPr="00000000">
        <w:rPr>
          <w:rtl w:val="0"/>
        </w:rPr>
      </w:r>
    </w:p>
    <w:p w:rsidR="00000000" w:rsidDel="00000000" w:rsidP="00000000" w:rsidRDefault="00000000" w:rsidRPr="00000000" w14:paraId="0000171B">
      <w:pPr>
        <w:jc w:val="both"/>
        <w:rPr>
          <w:smallCaps w:val="1"/>
          <w:color w:val="0d0d0d"/>
          <w:highlight w:val="white"/>
        </w:rPr>
      </w:pPr>
      <w:r w:rsidDel="00000000" w:rsidR="00000000" w:rsidRPr="00000000">
        <w:rPr>
          <w:rtl w:val="0"/>
        </w:rPr>
      </w:r>
    </w:p>
    <w:p w:rsidR="00000000" w:rsidDel="00000000" w:rsidP="00000000" w:rsidRDefault="00000000" w:rsidRPr="00000000" w14:paraId="0000171C">
      <w:pPr>
        <w:jc w:val="both"/>
        <w:rPr>
          <w:smallCaps w:val="1"/>
          <w:color w:val="0d0d0d"/>
          <w:highlight w:val="white"/>
        </w:rPr>
      </w:pPr>
      <w:r w:rsidDel="00000000" w:rsidR="00000000" w:rsidRPr="00000000">
        <w:rPr>
          <w:rtl w:val="0"/>
        </w:rPr>
      </w:r>
    </w:p>
    <w:p w:rsidR="00000000" w:rsidDel="00000000" w:rsidP="00000000" w:rsidRDefault="00000000" w:rsidRPr="00000000" w14:paraId="0000171D">
      <w:pPr>
        <w:jc w:val="both"/>
        <w:rPr>
          <w:smallCaps w:val="1"/>
          <w:color w:val="0d0d0d"/>
          <w:highlight w:val="white"/>
        </w:rPr>
      </w:pPr>
      <w:r w:rsidDel="00000000" w:rsidR="00000000" w:rsidRPr="00000000">
        <w:rPr>
          <w:rtl w:val="0"/>
        </w:rPr>
      </w:r>
    </w:p>
    <w:p w:rsidR="00000000" w:rsidDel="00000000" w:rsidP="00000000" w:rsidRDefault="00000000" w:rsidRPr="00000000" w14:paraId="0000171E">
      <w:pPr>
        <w:jc w:val="both"/>
        <w:rPr>
          <w:smallCaps w:val="1"/>
          <w:color w:val="0d0d0d"/>
          <w:highlight w:val="white"/>
        </w:rPr>
      </w:pPr>
      <w:r w:rsidDel="00000000" w:rsidR="00000000" w:rsidRPr="00000000">
        <w:rPr>
          <w:rtl w:val="0"/>
        </w:rPr>
      </w:r>
    </w:p>
    <w:p w:rsidR="00000000" w:rsidDel="00000000" w:rsidP="00000000" w:rsidRDefault="00000000" w:rsidRPr="00000000" w14:paraId="0000171F">
      <w:pPr>
        <w:jc w:val="both"/>
        <w:rPr>
          <w:smallCaps w:val="1"/>
          <w:color w:val="0d0d0d"/>
          <w:highlight w:val="white"/>
        </w:rPr>
      </w:pPr>
      <w:r w:rsidDel="00000000" w:rsidR="00000000" w:rsidRPr="00000000">
        <w:rPr>
          <w:rtl w:val="0"/>
        </w:rPr>
      </w:r>
    </w:p>
    <w:p w:rsidR="00000000" w:rsidDel="00000000" w:rsidP="00000000" w:rsidRDefault="00000000" w:rsidRPr="00000000" w14:paraId="00001720">
      <w:pPr>
        <w:jc w:val="both"/>
        <w:rPr>
          <w:smallCaps w:val="1"/>
          <w:color w:val="0d0d0d"/>
          <w:highlight w:val="white"/>
        </w:rPr>
      </w:pPr>
      <w:r w:rsidDel="00000000" w:rsidR="00000000" w:rsidRPr="00000000">
        <w:rPr>
          <w:rtl w:val="0"/>
        </w:rPr>
      </w:r>
    </w:p>
    <w:p w:rsidR="00000000" w:rsidDel="00000000" w:rsidP="00000000" w:rsidRDefault="00000000" w:rsidRPr="00000000" w14:paraId="00001721">
      <w:pPr>
        <w:jc w:val="both"/>
        <w:rPr>
          <w:smallCaps w:val="1"/>
          <w:color w:val="0d0d0d"/>
          <w:highlight w:val="white"/>
        </w:rPr>
      </w:pPr>
      <w:r w:rsidDel="00000000" w:rsidR="00000000" w:rsidRPr="00000000">
        <w:rPr>
          <w:rtl w:val="0"/>
        </w:rPr>
      </w:r>
    </w:p>
    <w:p w:rsidR="00000000" w:rsidDel="00000000" w:rsidP="00000000" w:rsidRDefault="00000000" w:rsidRPr="00000000" w14:paraId="00001722">
      <w:pPr>
        <w:jc w:val="both"/>
        <w:rPr>
          <w:smallCaps w:val="1"/>
          <w:color w:val="0d0d0d"/>
          <w:highlight w:val="white"/>
        </w:rPr>
      </w:pPr>
      <w:r w:rsidDel="00000000" w:rsidR="00000000" w:rsidRPr="00000000">
        <w:rPr>
          <w:rtl w:val="0"/>
        </w:rPr>
      </w:r>
    </w:p>
    <w:p w:rsidR="00000000" w:rsidDel="00000000" w:rsidP="00000000" w:rsidRDefault="00000000" w:rsidRPr="00000000" w14:paraId="00001723">
      <w:pPr>
        <w:jc w:val="both"/>
        <w:rPr>
          <w:smallCaps w:val="1"/>
          <w:color w:val="0d0d0d"/>
          <w:highlight w:val="white"/>
        </w:rPr>
      </w:pPr>
      <w:r w:rsidDel="00000000" w:rsidR="00000000" w:rsidRPr="00000000">
        <w:rPr>
          <w:rtl w:val="0"/>
        </w:rPr>
      </w:r>
    </w:p>
    <w:p w:rsidR="00000000" w:rsidDel="00000000" w:rsidP="00000000" w:rsidRDefault="00000000" w:rsidRPr="00000000" w14:paraId="00001724">
      <w:pPr>
        <w:jc w:val="both"/>
        <w:rPr>
          <w:smallCaps w:val="1"/>
          <w:color w:val="0d0d0d"/>
          <w:highlight w:val="white"/>
        </w:rPr>
      </w:pPr>
      <w:r w:rsidDel="00000000" w:rsidR="00000000" w:rsidRPr="00000000">
        <w:rPr>
          <w:rtl w:val="0"/>
        </w:rPr>
      </w:r>
    </w:p>
    <w:p w:rsidR="00000000" w:rsidDel="00000000" w:rsidP="00000000" w:rsidRDefault="00000000" w:rsidRPr="00000000" w14:paraId="00001725">
      <w:pPr>
        <w:jc w:val="both"/>
        <w:rPr>
          <w:smallCaps w:val="1"/>
          <w:color w:val="0d0d0d"/>
          <w:highlight w:val="white"/>
        </w:rPr>
      </w:pPr>
      <w:r w:rsidDel="00000000" w:rsidR="00000000" w:rsidRPr="00000000">
        <w:rPr>
          <w:rtl w:val="0"/>
        </w:rPr>
      </w:r>
    </w:p>
    <w:p w:rsidR="00000000" w:rsidDel="00000000" w:rsidP="00000000" w:rsidRDefault="00000000" w:rsidRPr="00000000" w14:paraId="00001726">
      <w:pPr>
        <w:jc w:val="both"/>
        <w:rPr>
          <w:smallCaps w:val="1"/>
          <w:color w:val="0d0d0d"/>
          <w:highlight w:val="white"/>
        </w:rPr>
      </w:pPr>
      <w:r w:rsidDel="00000000" w:rsidR="00000000" w:rsidRPr="00000000">
        <w:rPr>
          <w:rtl w:val="0"/>
        </w:rPr>
      </w:r>
    </w:p>
    <w:p w:rsidR="00000000" w:rsidDel="00000000" w:rsidP="00000000" w:rsidRDefault="00000000" w:rsidRPr="00000000" w14:paraId="00001727">
      <w:pPr>
        <w:jc w:val="both"/>
        <w:rPr>
          <w:smallCaps w:val="1"/>
          <w:color w:val="0d0d0d"/>
          <w:highlight w:val="white"/>
        </w:rPr>
      </w:pPr>
      <w:r w:rsidDel="00000000" w:rsidR="00000000" w:rsidRPr="00000000">
        <w:rPr>
          <w:rtl w:val="0"/>
        </w:rPr>
      </w:r>
    </w:p>
    <w:p w:rsidR="00000000" w:rsidDel="00000000" w:rsidP="00000000" w:rsidRDefault="00000000" w:rsidRPr="00000000" w14:paraId="00001728">
      <w:pPr>
        <w:jc w:val="both"/>
        <w:rPr>
          <w:smallCaps w:val="1"/>
          <w:color w:val="0d0d0d"/>
          <w:highlight w:val="white"/>
        </w:rPr>
      </w:pPr>
      <w:r w:rsidDel="00000000" w:rsidR="00000000" w:rsidRPr="00000000">
        <w:rPr>
          <w:rtl w:val="0"/>
        </w:rPr>
      </w:r>
    </w:p>
    <w:p w:rsidR="00000000" w:rsidDel="00000000" w:rsidP="00000000" w:rsidRDefault="00000000" w:rsidRPr="00000000" w14:paraId="00001729">
      <w:pPr>
        <w:jc w:val="both"/>
        <w:rPr>
          <w:smallCaps w:val="1"/>
          <w:color w:val="0d0d0d"/>
          <w:highlight w:val="white"/>
        </w:rPr>
      </w:pPr>
      <w:r w:rsidDel="00000000" w:rsidR="00000000" w:rsidRPr="00000000">
        <w:rPr>
          <w:rtl w:val="0"/>
        </w:rPr>
      </w:r>
    </w:p>
    <w:p w:rsidR="00000000" w:rsidDel="00000000" w:rsidP="00000000" w:rsidRDefault="00000000" w:rsidRPr="00000000" w14:paraId="0000172A">
      <w:pPr>
        <w:jc w:val="both"/>
        <w:rPr>
          <w:smallCaps w:val="1"/>
          <w:color w:val="0d0d0d"/>
          <w:highlight w:val="white"/>
        </w:rPr>
      </w:pPr>
      <w:r w:rsidDel="00000000" w:rsidR="00000000" w:rsidRPr="00000000">
        <w:rPr>
          <w:rtl w:val="0"/>
        </w:rPr>
      </w:r>
    </w:p>
    <w:p w:rsidR="00000000" w:rsidDel="00000000" w:rsidP="00000000" w:rsidRDefault="00000000" w:rsidRPr="00000000" w14:paraId="0000172B">
      <w:pPr>
        <w:jc w:val="both"/>
        <w:rPr>
          <w:smallCaps w:val="1"/>
          <w:color w:val="0d0d0d"/>
          <w:highlight w:val="white"/>
        </w:rPr>
      </w:pPr>
      <w:r w:rsidDel="00000000" w:rsidR="00000000" w:rsidRPr="00000000">
        <w:rPr>
          <w:rtl w:val="0"/>
        </w:rPr>
      </w:r>
    </w:p>
    <w:p w:rsidR="00000000" w:rsidDel="00000000" w:rsidP="00000000" w:rsidRDefault="00000000" w:rsidRPr="00000000" w14:paraId="0000172C">
      <w:pPr>
        <w:jc w:val="both"/>
        <w:rPr>
          <w:smallCaps w:val="1"/>
          <w:color w:val="0d0d0d"/>
          <w:highlight w:val="white"/>
        </w:rPr>
      </w:pPr>
      <w:r w:rsidDel="00000000" w:rsidR="00000000" w:rsidRPr="00000000">
        <w:rPr>
          <w:rtl w:val="0"/>
        </w:rPr>
      </w:r>
    </w:p>
    <w:p w:rsidR="00000000" w:rsidDel="00000000" w:rsidP="00000000" w:rsidRDefault="00000000" w:rsidRPr="00000000" w14:paraId="0000172D">
      <w:pPr>
        <w:jc w:val="both"/>
        <w:rPr>
          <w:smallCaps w:val="1"/>
          <w:color w:val="0d0d0d"/>
          <w:highlight w:val="white"/>
        </w:rPr>
      </w:pPr>
      <w:r w:rsidDel="00000000" w:rsidR="00000000" w:rsidRPr="00000000">
        <w:rPr>
          <w:rtl w:val="0"/>
        </w:rPr>
      </w:r>
    </w:p>
    <w:p w:rsidR="00000000" w:rsidDel="00000000" w:rsidP="00000000" w:rsidRDefault="00000000" w:rsidRPr="00000000" w14:paraId="0000172E">
      <w:pPr>
        <w:jc w:val="both"/>
        <w:rPr>
          <w:smallCaps w:val="1"/>
          <w:color w:val="0d0d0d"/>
          <w:highlight w:val="white"/>
        </w:rPr>
      </w:pPr>
      <w:r w:rsidDel="00000000" w:rsidR="00000000" w:rsidRPr="00000000">
        <w:rPr>
          <w:rtl w:val="0"/>
        </w:rPr>
      </w:r>
    </w:p>
    <w:p w:rsidR="00000000" w:rsidDel="00000000" w:rsidP="00000000" w:rsidRDefault="00000000" w:rsidRPr="00000000" w14:paraId="0000172F">
      <w:pPr>
        <w:jc w:val="both"/>
        <w:rPr>
          <w:smallCaps w:val="1"/>
          <w:color w:val="0d0d0d"/>
          <w:highlight w:val="white"/>
        </w:rPr>
      </w:pPr>
      <w:r w:rsidDel="00000000" w:rsidR="00000000" w:rsidRPr="00000000">
        <w:rPr>
          <w:rtl w:val="0"/>
        </w:rPr>
      </w:r>
    </w:p>
    <w:p w:rsidR="00000000" w:rsidDel="00000000" w:rsidP="00000000" w:rsidRDefault="00000000" w:rsidRPr="00000000" w14:paraId="00001730">
      <w:pPr>
        <w:jc w:val="both"/>
        <w:rPr>
          <w:smallCaps w:val="1"/>
          <w:color w:val="0d0d0d"/>
          <w:highlight w:val="white"/>
        </w:rPr>
      </w:pPr>
      <w:r w:rsidDel="00000000" w:rsidR="00000000" w:rsidRPr="00000000">
        <w:rPr>
          <w:rtl w:val="0"/>
        </w:rPr>
      </w:r>
    </w:p>
    <w:p w:rsidR="00000000" w:rsidDel="00000000" w:rsidP="00000000" w:rsidRDefault="00000000" w:rsidRPr="00000000" w14:paraId="00001731">
      <w:pPr>
        <w:jc w:val="both"/>
        <w:rPr>
          <w:smallCaps w:val="1"/>
          <w:color w:val="0d0d0d"/>
          <w:highlight w:val="white"/>
        </w:rPr>
      </w:pPr>
      <w:r w:rsidDel="00000000" w:rsidR="00000000" w:rsidRPr="00000000">
        <w:rPr>
          <w:rtl w:val="0"/>
        </w:rPr>
      </w:r>
    </w:p>
    <w:p w:rsidR="00000000" w:rsidDel="00000000" w:rsidP="00000000" w:rsidRDefault="00000000" w:rsidRPr="00000000" w14:paraId="00001732">
      <w:pPr>
        <w:jc w:val="both"/>
        <w:rPr>
          <w:smallCaps w:val="1"/>
          <w:color w:val="0d0d0d"/>
          <w:highlight w:val="white"/>
        </w:rPr>
      </w:pPr>
      <w:r w:rsidDel="00000000" w:rsidR="00000000" w:rsidRPr="00000000">
        <w:rPr>
          <w:rtl w:val="0"/>
        </w:rPr>
      </w:r>
    </w:p>
    <w:p w:rsidR="00000000" w:rsidDel="00000000" w:rsidP="00000000" w:rsidRDefault="00000000" w:rsidRPr="00000000" w14:paraId="00001733">
      <w:pPr>
        <w:jc w:val="both"/>
        <w:rPr>
          <w:smallCaps w:val="1"/>
          <w:color w:val="0d0d0d"/>
          <w:highlight w:val="white"/>
        </w:rPr>
      </w:pPr>
      <w:r w:rsidDel="00000000" w:rsidR="00000000" w:rsidRPr="00000000">
        <w:rPr>
          <w:rtl w:val="0"/>
        </w:rPr>
      </w:r>
    </w:p>
    <w:p w:rsidR="00000000" w:rsidDel="00000000" w:rsidP="00000000" w:rsidRDefault="00000000" w:rsidRPr="00000000" w14:paraId="00001734">
      <w:pPr>
        <w:jc w:val="both"/>
        <w:rPr>
          <w:smallCaps w:val="1"/>
          <w:color w:val="0d0d0d"/>
          <w:highlight w:val="white"/>
        </w:rPr>
      </w:pPr>
      <w:r w:rsidDel="00000000" w:rsidR="00000000" w:rsidRPr="00000000">
        <w:rPr>
          <w:rtl w:val="0"/>
        </w:rPr>
      </w:r>
    </w:p>
    <w:p w:rsidR="00000000" w:rsidDel="00000000" w:rsidP="00000000" w:rsidRDefault="00000000" w:rsidRPr="00000000" w14:paraId="00001735">
      <w:pPr>
        <w:jc w:val="both"/>
        <w:rPr>
          <w:smallCaps w:val="1"/>
          <w:color w:val="0d0d0d"/>
          <w:highlight w:val="white"/>
        </w:rPr>
      </w:pPr>
      <w:r w:rsidDel="00000000" w:rsidR="00000000" w:rsidRPr="00000000">
        <w:rPr>
          <w:rtl w:val="0"/>
        </w:rPr>
      </w:r>
    </w:p>
    <w:p w:rsidR="00000000" w:rsidDel="00000000" w:rsidP="00000000" w:rsidRDefault="00000000" w:rsidRPr="00000000" w14:paraId="00001736">
      <w:pPr>
        <w:jc w:val="both"/>
        <w:rPr>
          <w:smallCaps w:val="1"/>
          <w:color w:val="0d0d0d"/>
          <w:highlight w:val="white"/>
        </w:rPr>
      </w:pPr>
      <w:r w:rsidDel="00000000" w:rsidR="00000000" w:rsidRPr="00000000">
        <w:rPr>
          <w:rtl w:val="0"/>
        </w:rPr>
      </w:r>
    </w:p>
    <w:p w:rsidR="00000000" w:rsidDel="00000000" w:rsidP="00000000" w:rsidRDefault="00000000" w:rsidRPr="00000000" w14:paraId="00001737">
      <w:pPr>
        <w:jc w:val="both"/>
        <w:rPr>
          <w:smallCaps w:val="1"/>
          <w:color w:val="0d0d0d"/>
          <w:highlight w:val="white"/>
        </w:rPr>
      </w:pPr>
      <w:r w:rsidDel="00000000" w:rsidR="00000000" w:rsidRPr="00000000">
        <w:rPr>
          <w:rtl w:val="0"/>
        </w:rPr>
      </w:r>
    </w:p>
    <w:p w:rsidR="00000000" w:rsidDel="00000000" w:rsidP="00000000" w:rsidRDefault="00000000" w:rsidRPr="00000000" w14:paraId="00001738">
      <w:pPr>
        <w:jc w:val="both"/>
        <w:rPr>
          <w:smallCaps w:val="1"/>
          <w:color w:val="0d0d0d"/>
          <w:highlight w:val="white"/>
        </w:rPr>
      </w:pPr>
      <w:r w:rsidDel="00000000" w:rsidR="00000000" w:rsidRPr="00000000">
        <w:rPr>
          <w:rtl w:val="0"/>
        </w:rPr>
      </w:r>
    </w:p>
    <w:p w:rsidR="00000000" w:rsidDel="00000000" w:rsidP="00000000" w:rsidRDefault="00000000" w:rsidRPr="00000000" w14:paraId="00001739">
      <w:pPr>
        <w:jc w:val="both"/>
        <w:rPr>
          <w:smallCaps w:val="1"/>
          <w:color w:val="0d0d0d"/>
          <w:highlight w:val="white"/>
        </w:rPr>
      </w:pPr>
      <w:r w:rsidDel="00000000" w:rsidR="00000000" w:rsidRPr="00000000">
        <w:rPr>
          <w:rtl w:val="0"/>
        </w:rPr>
      </w:r>
    </w:p>
    <w:p w:rsidR="00000000" w:rsidDel="00000000" w:rsidP="00000000" w:rsidRDefault="00000000" w:rsidRPr="00000000" w14:paraId="0000173A">
      <w:pPr>
        <w:jc w:val="both"/>
        <w:rPr>
          <w:smallCaps w:val="1"/>
          <w:color w:val="0d0d0d"/>
          <w:highlight w:val="white"/>
        </w:rPr>
      </w:pPr>
      <w:r w:rsidDel="00000000" w:rsidR="00000000" w:rsidRPr="00000000">
        <w:rPr>
          <w:rtl w:val="0"/>
        </w:rPr>
      </w:r>
    </w:p>
    <w:p w:rsidR="00000000" w:rsidDel="00000000" w:rsidP="00000000" w:rsidRDefault="00000000" w:rsidRPr="00000000" w14:paraId="0000173B">
      <w:pPr>
        <w:jc w:val="both"/>
        <w:rPr>
          <w:smallCaps w:val="1"/>
          <w:color w:val="0d0d0d"/>
          <w:highlight w:val="white"/>
        </w:rPr>
      </w:pPr>
      <w:r w:rsidDel="00000000" w:rsidR="00000000" w:rsidRPr="00000000">
        <w:rPr>
          <w:rtl w:val="0"/>
        </w:rPr>
      </w:r>
    </w:p>
    <w:p w:rsidR="00000000" w:rsidDel="00000000" w:rsidP="00000000" w:rsidRDefault="00000000" w:rsidRPr="00000000" w14:paraId="0000173C">
      <w:pPr>
        <w:jc w:val="both"/>
        <w:rPr>
          <w:smallCaps w:val="1"/>
          <w:color w:val="0d0d0d"/>
          <w:highlight w:val="white"/>
        </w:rPr>
      </w:pPr>
      <w:r w:rsidDel="00000000" w:rsidR="00000000" w:rsidRPr="00000000">
        <w:rPr>
          <w:rtl w:val="0"/>
        </w:rPr>
      </w:r>
    </w:p>
    <w:p w:rsidR="00000000" w:rsidDel="00000000" w:rsidP="00000000" w:rsidRDefault="00000000" w:rsidRPr="00000000" w14:paraId="0000173D">
      <w:pPr>
        <w:jc w:val="center"/>
        <w:rPr>
          <w:b w:val="1"/>
          <w:highlight w:val="white"/>
        </w:rPr>
      </w:pPr>
      <w:r w:rsidDel="00000000" w:rsidR="00000000" w:rsidRPr="00000000">
        <w:rPr>
          <w:b w:val="1"/>
          <w:highlight w:val="white"/>
          <w:rtl w:val="0"/>
        </w:rPr>
        <w:t xml:space="preserve">REFERENCES</w:t>
      </w:r>
    </w:p>
    <w:p w:rsidR="00000000" w:rsidDel="00000000" w:rsidP="00000000" w:rsidRDefault="00000000" w:rsidRPr="00000000" w14:paraId="0000173E">
      <w:pPr>
        <w:spacing w:after="280" w:before="280" w:lineRule="auto"/>
        <w:jc w:val="both"/>
        <w:rPr/>
      </w:pPr>
      <w:r w:rsidDel="00000000" w:rsidR="00000000" w:rsidRPr="00000000">
        <w:rPr>
          <w:rtl w:val="0"/>
        </w:rPr>
        <w:t xml:space="preserve">Adapt Digital, 2024. Accessibility and user experience in healthcare. [online] Available at: </w:t>
      </w:r>
      <w:hyperlink r:id="rId14">
        <w:r w:rsidDel="00000000" w:rsidR="00000000" w:rsidRPr="00000000">
          <w:rPr>
            <w:color w:val="0000ff"/>
            <w:u w:val="single"/>
            <w:rtl w:val="0"/>
          </w:rPr>
          <w:t xml:space="preserve">https://adapt.digital/insights/accessibility-and-user-experience-in-healthcare</w:t>
        </w:r>
      </w:hyperlink>
      <w:r w:rsidDel="00000000" w:rsidR="00000000" w:rsidRPr="00000000">
        <w:rPr>
          <w:rtl w:val="0"/>
        </w:rPr>
        <w:t xml:space="preserve"> [Accessed 18 May 2025].</w:t>
      </w:r>
    </w:p>
    <w:p w:rsidR="00000000" w:rsidDel="00000000" w:rsidP="00000000" w:rsidRDefault="00000000" w:rsidRPr="00000000" w14:paraId="0000173F">
      <w:pPr>
        <w:spacing w:after="280" w:before="280" w:lineRule="auto"/>
        <w:jc w:val="both"/>
        <w:rPr/>
      </w:pPr>
      <w:r w:rsidDel="00000000" w:rsidR="00000000" w:rsidRPr="00000000">
        <w:rPr>
          <w:rtl w:val="0"/>
        </w:rPr>
        <w:t xml:space="preserve">Adeghe, E., Okolo, C. and Ojeyinka, O., 2024. A review of wearable technology in healthcare: Monitoring patient health and enhancing outcomes. </w:t>
      </w:r>
      <w:r w:rsidDel="00000000" w:rsidR="00000000" w:rsidRPr="00000000">
        <w:rPr>
          <w:i w:val="1"/>
          <w:rtl w:val="0"/>
        </w:rPr>
        <w:t xml:space="preserve">Open Access Research Journal of Multidisciplinary Studies</w:t>
      </w:r>
      <w:r w:rsidDel="00000000" w:rsidR="00000000" w:rsidRPr="00000000">
        <w:rPr>
          <w:rtl w:val="0"/>
        </w:rPr>
        <w:t xml:space="preserve">, 7(1), pp.142–148. </w:t>
      </w:r>
      <w:hyperlink r:id="rId15">
        <w:r w:rsidDel="00000000" w:rsidR="00000000" w:rsidRPr="00000000">
          <w:rPr>
            <w:color w:val="0000ff"/>
            <w:u w:val="single"/>
            <w:rtl w:val="0"/>
          </w:rPr>
          <w:t xml:space="preserve">https://doi.org/10.53022/oarjms.2024.7.1.0019</w:t>
        </w:r>
      </w:hyperlink>
      <w:r w:rsidDel="00000000" w:rsidR="00000000" w:rsidRPr="00000000">
        <w:rPr>
          <w:rtl w:val="0"/>
        </w:rPr>
      </w:r>
    </w:p>
    <w:p w:rsidR="00000000" w:rsidDel="00000000" w:rsidP="00000000" w:rsidRDefault="00000000" w:rsidRPr="00000000" w14:paraId="00001740">
      <w:pPr>
        <w:spacing w:after="280" w:before="280" w:lineRule="auto"/>
        <w:jc w:val="both"/>
        <w:rPr/>
      </w:pPr>
      <w:r w:rsidDel="00000000" w:rsidR="00000000" w:rsidRPr="00000000">
        <w:rPr>
          <w:rtl w:val="0"/>
        </w:rPr>
        <w:t xml:space="preserve">Agarwal, R. and Prasad, J., 1998. A conceptual and operational definition of personal innovativeness in the domain of information technology. </w:t>
      </w:r>
      <w:r w:rsidDel="00000000" w:rsidR="00000000" w:rsidRPr="00000000">
        <w:rPr>
          <w:i w:val="1"/>
          <w:rtl w:val="0"/>
        </w:rPr>
        <w:t xml:space="preserve">Information Systems Research</w:t>
      </w:r>
      <w:r w:rsidDel="00000000" w:rsidR="00000000" w:rsidRPr="00000000">
        <w:rPr>
          <w:rtl w:val="0"/>
        </w:rPr>
        <w:t xml:space="preserve">, 9(2). Available at: </w:t>
      </w:r>
      <w:hyperlink r:id="rId16">
        <w:r w:rsidDel="00000000" w:rsidR="00000000" w:rsidRPr="00000000">
          <w:rPr>
            <w:color w:val="0000ff"/>
            <w:u w:val="single"/>
            <w:rtl w:val="0"/>
          </w:rPr>
          <w:t xml:space="preserve">https://faculty.washington.edu/harryb/courses/INFO310/Agarwal.pdf</w:t>
        </w:r>
      </w:hyperlink>
      <w:r w:rsidDel="00000000" w:rsidR="00000000" w:rsidRPr="00000000">
        <w:rPr>
          <w:rtl w:val="0"/>
        </w:rPr>
      </w:r>
    </w:p>
    <w:p w:rsidR="00000000" w:rsidDel="00000000" w:rsidP="00000000" w:rsidRDefault="00000000" w:rsidRPr="00000000" w14:paraId="00001741">
      <w:pPr>
        <w:spacing w:after="280" w:before="280" w:lineRule="auto"/>
        <w:jc w:val="both"/>
        <w:rPr/>
      </w:pPr>
      <w:r w:rsidDel="00000000" w:rsidR="00000000" w:rsidRPr="00000000">
        <w:rPr>
          <w:rtl w:val="0"/>
        </w:rPr>
        <w:t xml:space="preserve">Ahmad, A., Rasul, T., Yousaf, A. and Zaman, U., 2020. Understanding factors influencing elderly diabetic patients’ continuance intention to use digital health wearables: Extending the Technology Acceptance Model (TAM). </w:t>
      </w:r>
      <w:r w:rsidDel="00000000" w:rsidR="00000000" w:rsidRPr="00000000">
        <w:rPr>
          <w:i w:val="1"/>
          <w:rtl w:val="0"/>
        </w:rPr>
        <w:t xml:space="preserve">Journal of Open Innovation: Technology, Market, and Complexity</w:t>
      </w:r>
      <w:r w:rsidDel="00000000" w:rsidR="00000000" w:rsidRPr="00000000">
        <w:rPr>
          <w:rtl w:val="0"/>
        </w:rPr>
        <w:t xml:space="preserve">, 6(3), 81. </w:t>
      </w:r>
      <w:hyperlink r:id="rId17">
        <w:r w:rsidDel="00000000" w:rsidR="00000000" w:rsidRPr="00000000">
          <w:rPr>
            <w:color w:val="0000ff"/>
            <w:u w:val="single"/>
            <w:rtl w:val="0"/>
          </w:rPr>
          <w:t xml:space="preserve">https://doi.org/10.3390/joitmc6030081</w:t>
        </w:r>
      </w:hyperlink>
      <w:r w:rsidDel="00000000" w:rsidR="00000000" w:rsidRPr="00000000">
        <w:rPr>
          <w:rtl w:val="0"/>
        </w:rPr>
      </w:r>
    </w:p>
    <w:p w:rsidR="00000000" w:rsidDel="00000000" w:rsidP="00000000" w:rsidRDefault="00000000" w:rsidRPr="00000000" w14:paraId="00001742">
      <w:pPr>
        <w:spacing w:after="280" w:before="280" w:lineRule="auto"/>
        <w:jc w:val="both"/>
        <w:rPr/>
      </w:pPr>
      <w:r w:rsidDel="00000000" w:rsidR="00000000" w:rsidRPr="00000000">
        <w:rPr>
          <w:rtl w:val="0"/>
        </w:rPr>
        <w:t xml:space="preserve">Ajzen, I. and Fishbein, M., 1975. </w:t>
      </w:r>
      <w:r w:rsidDel="00000000" w:rsidR="00000000" w:rsidRPr="00000000">
        <w:rPr>
          <w:i w:val="1"/>
          <w:rtl w:val="0"/>
        </w:rPr>
        <w:t xml:space="preserve">A Bayesian analysis of attribution processes</w:t>
      </w:r>
      <w:r w:rsidDel="00000000" w:rsidR="00000000" w:rsidRPr="00000000">
        <w:rPr>
          <w:rtl w:val="0"/>
        </w:rPr>
        <w:t xml:space="preserve">. </w:t>
      </w:r>
      <w:r w:rsidDel="00000000" w:rsidR="00000000" w:rsidRPr="00000000">
        <w:rPr>
          <w:i w:val="1"/>
          <w:rtl w:val="0"/>
        </w:rPr>
        <w:t xml:space="preserve">Psychological Bulletin</w:t>
      </w:r>
      <w:r w:rsidDel="00000000" w:rsidR="00000000" w:rsidRPr="00000000">
        <w:rPr>
          <w:rtl w:val="0"/>
        </w:rPr>
        <w:t xml:space="preserve">, 82(2), pp.261.</w:t>
      </w:r>
    </w:p>
    <w:p w:rsidR="00000000" w:rsidDel="00000000" w:rsidP="00000000" w:rsidRDefault="00000000" w:rsidRPr="00000000" w14:paraId="00001743">
      <w:pPr>
        <w:spacing w:after="280" w:before="280" w:lineRule="auto"/>
        <w:jc w:val="both"/>
        <w:rPr/>
      </w:pPr>
      <w:r w:rsidDel="00000000" w:rsidR="00000000" w:rsidRPr="00000000">
        <w:rPr>
          <w:rtl w:val="0"/>
        </w:rPr>
        <w:t xml:space="preserve">Ajzen, I., 2002. Perceived behavioral control, self-efficacy, locus of control, and the Theory of Planned Behavior. </w:t>
      </w:r>
      <w:r w:rsidDel="00000000" w:rsidR="00000000" w:rsidRPr="00000000">
        <w:rPr>
          <w:i w:val="1"/>
          <w:rtl w:val="0"/>
        </w:rPr>
        <w:t xml:space="preserve">Journal of Applied Social Psychology</w:t>
      </w:r>
      <w:r w:rsidDel="00000000" w:rsidR="00000000" w:rsidRPr="00000000">
        <w:rPr>
          <w:rtl w:val="0"/>
        </w:rPr>
        <w:t xml:space="preserve">, 32(4), pp.665–683. </w:t>
      </w:r>
      <w:hyperlink r:id="rId18">
        <w:r w:rsidDel="00000000" w:rsidR="00000000" w:rsidRPr="00000000">
          <w:rPr>
            <w:color w:val="0000ff"/>
            <w:u w:val="single"/>
            <w:rtl w:val="0"/>
          </w:rPr>
          <w:t xml:space="preserve">https://doi.org/10.1111/j.1559-1816.2002.tb00236.x</w:t>
        </w:r>
      </w:hyperlink>
      <w:r w:rsidDel="00000000" w:rsidR="00000000" w:rsidRPr="00000000">
        <w:rPr>
          <w:rtl w:val="0"/>
        </w:rPr>
      </w:r>
    </w:p>
    <w:p w:rsidR="00000000" w:rsidDel="00000000" w:rsidP="00000000" w:rsidRDefault="00000000" w:rsidRPr="00000000" w14:paraId="00001744">
      <w:pPr>
        <w:spacing w:after="280" w:before="280" w:lineRule="auto"/>
        <w:jc w:val="both"/>
        <w:rPr/>
      </w:pPr>
      <w:r w:rsidDel="00000000" w:rsidR="00000000" w:rsidRPr="00000000">
        <w:rPr>
          <w:rtl w:val="0"/>
        </w:rPr>
        <w:t xml:space="preserve">Ajzen, I., 2020. The theory of planned behavior: Frequently asked questions. </w:t>
      </w:r>
      <w:r w:rsidDel="00000000" w:rsidR="00000000" w:rsidRPr="00000000">
        <w:rPr>
          <w:i w:val="1"/>
          <w:rtl w:val="0"/>
        </w:rPr>
        <w:t xml:space="preserve">Human Behavior and Emerging Technologies</w:t>
      </w:r>
      <w:r w:rsidDel="00000000" w:rsidR="00000000" w:rsidRPr="00000000">
        <w:rPr>
          <w:rtl w:val="0"/>
        </w:rPr>
        <w:t xml:space="preserve">, 2, pp.314–324. </w:t>
      </w:r>
      <w:hyperlink r:id="rId19">
        <w:r w:rsidDel="00000000" w:rsidR="00000000" w:rsidRPr="00000000">
          <w:rPr>
            <w:color w:val="0000ff"/>
            <w:u w:val="single"/>
            <w:rtl w:val="0"/>
          </w:rPr>
          <w:t xml:space="preserve">https://doi.org/10.1002/hbe2.195</w:t>
        </w:r>
      </w:hyperlink>
      <w:r w:rsidDel="00000000" w:rsidR="00000000" w:rsidRPr="00000000">
        <w:rPr>
          <w:rtl w:val="0"/>
        </w:rPr>
      </w:r>
    </w:p>
    <w:p w:rsidR="00000000" w:rsidDel="00000000" w:rsidP="00000000" w:rsidRDefault="00000000" w:rsidRPr="00000000" w14:paraId="00001745">
      <w:pPr>
        <w:spacing w:after="280" w:before="280" w:lineRule="auto"/>
        <w:jc w:val="both"/>
        <w:rPr/>
      </w:pPr>
      <w:r w:rsidDel="00000000" w:rsidR="00000000" w:rsidRPr="00000000">
        <w:rPr>
          <w:rtl w:val="0"/>
        </w:rPr>
        <w:t xml:space="preserve">Al Meslamani, A.Z., 2023. Technical and regulatory challenges of digital health implementation in developing countries. </w:t>
      </w:r>
      <w:r w:rsidDel="00000000" w:rsidR="00000000" w:rsidRPr="00000000">
        <w:rPr>
          <w:i w:val="1"/>
          <w:rtl w:val="0"/>
        </w:rPr>
        <w:t xml:space="preserve">Journal of Medical Economics</w:t>
      </w:r>
      <w:r w:rsidDel="00000000" w:rsidR="00000000" w:rsidRPr="00000000">
        <w:rPr>
          <w:rtl w:val="0"/>
        </w:rPr>
        <w:t xml:space="preserve">, 26(1), pp.1057–1060. </w:t>
      </w:r>
      <w:hyperlink r:id="rId20">
        <w:r w:rsidDel="00000000" w:rsidR="00000000" w:rsidRPr="00000000">
          <w:rPr>
            <w:color w:val="0000ff"/>
            <w:u w:val="single"/>
            <w:rtl w:val="0"/>
          </w:rPr>
          <w:t xml:space="preserve">https://doi.org/10.1080/13696998.2023.2249757</w:t>
        </w:r>
      </w:hyperlink>
      <w:r w:rsidDel="00000000" w:rsidR="00000000" w:rsidRPr="00000000">
        <w:rPr>
          <w:rtl w:val="0"/>
        </w:rPr>
      </w:r>
    </w:p>
    <w:p w:rsidR="00000000" w:rsidDel="00000000" w:rsidP="00000000" w:rsidRDefault="00000000" w:rsidRPr="00000000" w14:paraId="00001746">
      <w:pPr>
        <w:spacing w:after="280" w:before="280" w:lineRule="auto"/>
        <w:jc w:val="both"/>
        <w:rPr/>
      </w:pPr>
      <w:r w:rsidDel="00000000" w:rsidR="00000000" w:rsidRPr="00000000">
        <w:rPr>
          <w:rtl w:val="0"/>
        </w:rPr>
        <w:t xml:space="preserve">Al-kfairy, M., Ahmed, S. and Khalil, A., 2024. Factors impacting users’ willingness to adopt and utilize the metaverse in education: A systematic review. </w:t>
      </w:r>
      <w:r w:rsidDel="00000000" w:rsidR="00000000" w:rsidRPr="00000000">
        <w:rPr>
          <w:i w:val="1"/>
          <w:rtl w:val="0"/>
        </w:rPr>
        <w:t xml:space="preserve">Computers in Human Behavior Reports</w:t>
      </w:r>
      <w:r w:rsidDel="00000000" w:rsidR="00000000" w:rsidRPr="00000000">
        <w:rPr>
          <w:rtl w:val="0"/>
        </w:rPr>
        <w:t xml:space="preserve">, 15, 100459. </w:t>
      </w:r>
      <w:hyperlink r:id="rId21">
        <w:r w:rsidDel="00000000" w:rsidR="00000000" w:rsidRPr="00000000">
          <w:rPr>
            <w:color w:val="0000ff"/>
            <w:u w:val="single"/>
            <w:rtl w:val="0"/>
          </w:rPr>
          <w:t xml:space="preserve">https://doi.org/10.1016/j.chbr.2024.100459</w:t>
        </w:r>
      </w:hyperlink>
      <w:r w:rsidDel="00000000" w:rsidR="00000000" w:rsidRPr="00000000">
        <w:rPr>
          <w:rtl w:val="0"/>
        </w:rPr>
      </w:r>
    </w:p>
    <w:p w:rsidR="00000000" w:rsidDel="00000000" w:rsidP="00000000" w:rsidRDefault="00000000" w:rsidRPr="00000000" w14:paraId="00001747">
      <w:pPr>
        <w:spacing w:after="280" w:before="280" w:lineRule="auto"/>
        <w:jc w:val="both"/>
        <w:rPr/>
      </w:pPr>
      <w:r w:rsidDel="00000000" w:rsidR="00000000" w:rsidRPr="00000000">
        <w:rPr>
          <w:rtl w:val="0"/>
        </w:rPr>
        <w:t xml:space="preserve">Alblooshi, S. and Aziati, A., 2022. The effect of performance expectancy on actual use of e-learning throughout the mediation role of behavioural intention. </w:t>
      </w:r>
      <w:r w:rsidDel="00000000" w:rsidR="00000000" w:rsidRPr="00000000">
        <w:rPr>
          <w:i w:val="1"/>
          <w:rtl w:val="0"/>
        </w:rPr>
        <w:t xml:space="preserve">Journal of e-Learning and Higher Education</w:t>
      </w:r>
      <w:r w:rsidDel="00000000" w:rsidR="00000000" w:rsidRPr="00000000">
        <w:rPr>
          <w:rtl w:val="0"/>
        </w:rPr>
        <w:t xml:space="preserve">, 2022, pp.1–11. </w:t>
      </w:r>
      <w:hyperlink r:id="rId22">
        <w:r w:rsidDel="00000000" w:rsidR="00000000" w:rsidRPr="00000000">
          <w:rPr>
            <w:color w:val="0000ff"/>
            <w:u w:val="single"/>
            <w:rtl w:val="0"/>
          </w:rPr>
          <w:t xml:space="preserve">https://doi.org/10.5171/2022.628490</w:t>
        </w:r>
      </w:hyperlink>
      <w:r w:rsidDel="00000000" w:rsidR="00000000" w:rsidRPr="00000000">
        <w:rPr>
          <w:rtl w:val="0"/>
        </w:rPr>
      </w:r>
    </w:p>
    <w:p w:rsidR="00000000" w:rsidDel="00000000" w:rsidP="00000000" w:rsidRDefault="00000000" w:rsidRPr="00000000" w14:paraId="00001748">
      <w:pPr>
        <w:spacing w:after="280" w:before="280" w:lineRule="auto"/>
        <w:jc w:val="both"/>
        <w:rPr/>
      </w:pPr>
      <w:r w:rsidDel="00000000" w:rsidR="00000000" w:rsidRPr="00000000">
        <w:rPr>
          <w:rtl w:val="0"/>
        </w:rPr>
        <w:t xml:space="preserve">Algorri, J.F., López-Higuera, J.M., Rodríguez-Cobo, L. and Cobo, A., 2023. Advanced light source technologies for photodynamic therapy of skin cancer lesions. </w:t>
      </w:r>
      <w:r w:rsidDel="00000000" w:rsidR="00000000" w:rsidRPr="00000000">
        <w:rPr>
          <w:i w:val="1"/>
          <w:rtl w:val="0"/>
        </w:rPr>
        <w:t xml:space="preserve">Pharmaceutics</w:t>
      </w:r>
      <w:r w:rsidDel="00000000" w:rsidR="00000000" w:rsidRPr="00000000">
        <w:rPr>
          <w:rtl w:val="0"/>
        </w:rPr>
        <w:t xml:space="preserve">, 15(8), 2075. </w:t>
      </w:r>
      <w:hyperlink r:id="rId23">
        <w:r w:rsidDel="00000000" w:rsidR="00000000" w:rsidRPr="00000000">
          <w:rPr>
            <w:color w:val="0000ff"/>
            <w:u w:val="single"/>
            <w:rtl w:val="0"/>
          </w:rPr>
          <w:t xml:space="preserve">https://doi.org/10.3390/pharmaceutics15082075</w:t>
        </w:r>
      </w:hyperlink>
      <w:r w:rsidDel="00000000" w:rsidR="00000000" w:rsidRPr="00000000">
        <w:rPr>
          <w:rtl w:val="0"/>
        </w:rPr>
      </w:r>
    </w:p>
    <w:p w:rsidR="00000000" w:rsidDel="00000000" w:rsidP="00000000" w:rsidRDefault="00000000" w:rsidRPr="00000000" w14:paraId="00001749">
      <w:pPr>
        <w:spacing w:after="280" w:before="280" w:lineRule="auto"/>
        <w:jc w:val="both"/>
        <w:rPr/>
      </w:pPr>
      <w:r w:rsidDel="00000000" w:rsidR="00000000" w:rsidRPr="00000000">
        <w:rPr>
          <w:rtl w:val="0"/>
        </w:rPr>
        <w:t xml:space="preserve">Algorri, J.F., Ochoa, M., Roldán-Varona, P., Rodríguez-Cobo, L. and López-Higuera, J.M., 2021. Light technology for efficient and effective photodynamic therapy: A critical review. </w:t>
      </w:r>
      <w:r w:rsidDel="00000000" w:rsidR="00000000" w:rsidRPr="00000000">
        <w:rPr>
          <w:i w:val="1"/>
          <w:rtl w:val="0"/>
        </w:rPr>
        <w:t xml:space="preserve">Cancers</w:t>
      </w:r>
      <w:r w:rsidDel="00000000" w:rsidR="00000000" w:rsidRPr="00000000">
        <w:rPr>
          <w:rtl w:val="0"/>
        </w:rPr>
        <w:t xml:space="preserve">, 13(14), 3484. </w:t>
      </w:r>
      <w:hyperlink r:id="rId24">
        <w:r w:rsidDel="00000000" w:rsidR="00000000" w:rsidRPr="00000000">
          <w:rPr>
            <w:color w:val="0000ff"/>
            <w:u w:val="single"/>
            <w:rtl w:val="0"/>
          </w:rPr>
          <w:t xml:space="preserve">https://doi.org/10.3390/cancers13143484</w:t>
        </w:r>
      </w:hyperlink>
      <w:r w:rsidDel="00000000" w:rsidR="00000000" w:rsidRPr="00000000">
        <w:rPr>
          <w:rtl w:val="0"/>
        </w:rPr>
      </w:r>
    </w:p>
    <w:p w:rsidR="00000000" w:rsidDel="00000000" w:rsidP="00000000" w:rsidRDefault="00000000" w:rsidRPr="00000000" w14:paraId="0000174A">
      <w:pPr>
        <w:spacing w:after="280" w:before="280" w:lineRule="auto"/>
        <w:jc w:val="both"/>
        <w:rPr/>
      </w:pPr>
      <w:r w:rsidDel="00000000" w:rsidR="00000000" w:rsidRPr="00000000">
        <w:rPr>
          <w:rtl w:val="0"/>
        </w:rPr>
        <w:t xml:space="preserve">Alhassan, R.K., Boateng, D., Oppong, D., Amponsah, G., Alhassan, S.A., Amporfro, D.A., Yakubu, Y., Frimpong, K. and Addo, F., 2025. A systematic review of consumers' and healthcare professionals' trust in digital healthcare. </w:t>
      </w:r>
      <w:r w:rsidDel="00000000" w:rsidR="00000000" w:rsidRPr="00000000">
        <w:rPr>
          <w:i w:val="1"/>
          <w:rtl w:val="0"/>
        </w:rPr>
        <w:t xml:space="preserve">NPJ Digital Medicine</w:t>
      </w:r>
      <w:r w:rsidDel="00000000" w:rsidR="00000000" w:rsidRPr="00000000">
        <w:rPr>
          <w:rtl w:val="0"/>
        </w:rPr>
        <w:t xml:space="preserve">, 8, Article 1510. </w:t>
      </w:r>
      <w:hyperlink r:id="rId25">
        <w:r w:rsidDel="00000000" w:rsidR="00000000" w:rsidRPr="00000000">
          <w:rPr>
            <w:color w:val="0000ff"/>
            <w:u w:val="single"/>
            <w:rtl w:val="0"/>
          </w:rPr>
          <w:t xml:space="preserve">https://doi.org/10.1038/s41746-025-01510-8</w:t>
        </w:r>
      </w:hyperlink>
      <w:r w:rsidDel="00000000" w:rsidR="00000000" w:rsidRPr="00000000">
        <w:rPr>
          <w:rtl w:val="0"/>
        </w:rPr>
      </w:r>
    </w:p>
    <w:p w:rsidR="00000000" w:rsidDel="00000000" w:rsidP="00000000" w:rsidRDefault="00000000" w:rsidRPr="00000000" w14:paraId="0000174B">
      <w:pPr>
        <w:spacing w:after="280" w:before="280" w:lineRule="auto"/>
        <w:jc w:val="both"/>
        <w:rPr/>
      </w:pPr>
      <w:r w:rsidDel="00000000" w:rsidR="00000000" w:rsidRPr="00000000">
        <w:rPr>
          <w:rtl w:val="0"/>
        </w:rPr>
        <w:t xml:space="preserve">Allan, R., Malone, J., Alexander, J., Vorajee, S., Ihsan, M., Gregson, W., Kwiecien, S. and Mawhinney, C., 2022. Cold for centuries: A brief history of cryotherapies to improve health, injury and post-exercise recovery. </w:t>
      </w:r>
      <w:r w:rsidDel="00000000" w:rsidR="00000000" w:rsidRPr="00000000">
        <w:rPr>
          <w:i w:val="1"/>
          <w:rtl w:val="0"/>
        </w:rPr>
        <w:t xml:space="preserve">European Journal of Applied Physiology</w:t>
      </w:r>
      <w:r w:rsidDel="00000000" w:rsidR="00000000" w:rsidRPr="00000000">
        <w:rPr>
          <w:rtl w:val="0"/>
        </w:rPr>
        <w:t xml:space="preserve">, 122(5), pp.1153–1162. </w:t>
      </w:r>
      <w:hyperlink r:id="rId26">
        <w:r w:rsidDel="00000000" w:rsidR="00000000" w:rsidRPr="00000000">
          <w:rPr>
            <w:color w:val="0000ff"/>
            <w:u w:val="single"/>
            <w:rtl w:val="0"/>
          </w:rPr>
          <w:t xml:space="preserve">https://doi.org/10.1007/s00421-022-04915-5</w:t>
        </w:r>
      </w:hyperlink>
      <w:r w:rsidDel="00000000" w:rsidR="00000000" w:rsidRPr="00000000">
        <w:rPr>
          <w:rtl w:val="0"/>
        </w:rPr>
      </w:r>
    </w:p>
    <w:p w:rsidR="00000000" w:rsidDel="00000000" w:rsidP="00000000" w:rsidRDefault="00000000" w:rsidRPr="00000000" w14:paraId="0000174C">
      <w:pPr>
        <w:spacing w:after="280" w:before="280" w:lineRule="auto"/>
        <w:jc w:val="both"/>
        <w:rPr/>
      </w:pPr>
      <w:r w:rsidDel="00000000" w:rsidR="00000000" w:rsidRPr="00000000">
        <w:rPr>
          <w:rtl w:val="0"/>
        </w:rPr>
        <w:t xml:space="preserve">Alnawwar, M.A., Alraddadi, M.I., Algethmi, R.A., Salem, G.A., Salem, M.A. and Alharbi, A.A., 2023. The effect of physical activity on sleep quality and sleep disorder: A systematic review. </w:t>
      </w:r>
      <w:r w:rsidDel="00000000" w:rsidR="00000000" w:rsidRPr="00000000">
        <w:rPr>
          <w:i w:val="1"/>
          <w:rtl w:val="0"/>
        </w:rPr>
        <w:t xml:space="preserve">Cureus</w:t>
      </w:r>
      <w:r w:rsidDel="00000000" w:rsidR="00000000" w:rsidRPr="00000000">
        <w:rPr>
          <w:rtl w:val="0"/>
        </w:rPr>
        <w:t xml:space="preserve">, 15(8), e43595. </w:t>
      </w:r>
      <w:hyperlink r:id="rId27">
        <w:r w:rsidDel="00000000" w:rsidR="00000000" w:rsidRPr="00000000">
          <w:rPr>
            <w:color w:val="0000ff"/>
            <w:u w:val="single"/>
            <w:rtl w:val="0"/>
          </w:rPr>
          <w:t xml:space="preserve">https://doi.org/10.7759/cureus.43595</w:t>
        </w:r>
      </w:hyperlink>
      <w:r w:rsidDel="00000000" w:rsidR="00000000" w:rsidRPr="00000000">
        <w:rPr>
          <w:rtl w:val="0"/>
        </w:rPr>
      </w:r>
    </w:p>
    <w:p w:rsidR="00000000" w:rsidDel="00000000" w:rsidP="00000000" w:rsidRDefault="00000000" w:rsidRPr="00000000" w14:paraId="0000174D">
      <w:pPr>
        <w:spacing w:after="280" w:before="280" w:lineRule="auto"/>
        <w:jc w:val="both"/>
        <w:rPr/>
      </w:pPr>
      <w:r w:rsidDel="00000000" w:rsidR="00000000" w:rsidRPr="00000000">
        <w:rPr>
          <w:rtl w:val="0"/>
        </w:rPr>
        <w:t xml:space="preserve">AlQudah, A.A., Al-Emran, M. and Shaalan, K., 2021. Technology acceptance in healthcare: A systematic review. </w:t>
      </w:r>
      <w:r w:rsidDel="00000000" w:rsidR="00000000" w:rsidRPr="00000000">
        <w:rPr>
          <w:i w:val="1"/>
          <w:rtl w:val="0"/>
        </w:rPr>
        <w:t xml:space="preserve">Applied Sciences</w:t>
      </w:r>
      <w:r w:rsidDel="00000000" w:rsidR="00000000" w:rsidRPr="00000000">
        <w:rPr>
          <w:rtl w:val="0"/>
        </w:rPr>
        <w:t xml:space="preserve">, 11(22), 10537. </w:t>
      </w:r>
      <w:hyperlink r:id="rId28">
        <w:r w:rsidDel="00000000" w:rsidR="00000000" w:rsidRPr="00000000">
          <w:rPr>
            <w:color w:val="0000ff"/>
            <w:u w:val="single"/>
            <w:rtl w:val="0"/>
          </w:rPr>
          <w:t xml:space="preserve">https://doi.org/10.3390/app112210537</w:t>
        </w:r>
      </w:hyperlink>
      <w:r w:rsidDel="00000000" w:rsidR="00000000" w:rsidRPr="00000000">
        <w:rPr>
          <w:rtl w:val="0"/>
        </w:rPr>
      </w:r>
    </w:p>
    <w:p w:rsidR="00000000" w:rsidDel="00000000" w:rsidP="00000000" w:rsidRDefault="00000000" w:rsidRPr="00000000" w14:paraId="0000174E">
      <w:pPr>
        <w:spacing w:after="280" w:before="280" w:lineRule="auto"/>
        <w:jc w:val="both"/>
        <w:rPr/>
      </w:pPr>
      <w:r w:rsidDel="00000000" w:rsidR="00000000" w:rsidRPr="00000000">
        <w:rPr>
          <w:rtl w:val="0"/>
        </w:rPr>
        <w:t xml:space="preserve">Alrawad, M., Lutfi, A., Almaiah, M.A. and Elshaer, I.A., 2023. Examining the influence of trust and perceived risk on customers' intention to use NFC mobile payment system. </w:t>
      </w:r>
      <w:r w:rsidDel="00000000" w:rsidR="00000000" w:rsidRPr="00000000">
        <w:rPr>
          <w:i w:val="1"/>
          <w:rtl w:val="0"/>
        </w:rPr>
        <w:t xml:space="preserve">Journal of Open Innovation: Technology, Market, and Complexity</w:t>
      </w:r>
      <w:r w:rsidDel="00000000" w:rsidR="00000000" w:rsidRPr="00000000">
        <w:rPr>
          <w:rtl w:val="0"/>
        </w:rPr>
        <w:t xml:space="preserve">, 9(2), 100070. </w:t>
      </w:r>
      <w:hyperlink r:id="rId29">
        <w:r w:rsidDel="00000000" w:rsidR="00000000" w:rsidRPr="00000000">
          <w:rPr>
            <w:color w:val="0000ff"/>
            <w:u w:val="single"/>
            <w:rtl w:val="0"/>
          </w:rPr>
          <w:t xml:space="preserve">https://doi.org/10.1016/j.joitmc.2023.100070</w:t>
        </w:r>
      </w:hyperlink>
      <w:r w:rsidDel="00000000" w:rsidR="00000000" w:rsidRPr="00000000">
        <w:rPr>
          <w:rtl w:val="0"/>
        </w:rPr>
      </w:r>
    </w:p>
    <w:p w:rsidR="00000000" w:rsidDel="00000000" w:rsidP="00000000" w:rsidRDefault="00000000" w:rsidRPr="00000000" w14:paraId="0000174F">
      <w:pPr>
        <w:spacing w:after="280" w:before="280" w:lineRule="auto"/>
        <w:jc w:val="both"/>
        <w:rPr/>
      </w:pPr>
      <w:r w:rsidDel="00000000" w:rsidR="00000000" w:rsidRPr="00000000">
        <w:rPr>
          <w:rtl w:val="0"/>
        </w:rPr>
        <w:t xml:space="preserve">Alsyouf, A., Lutfi, A., Alsubahi, N., Alhazmi, F.N., Al-Mugheed, K., Anshasi, R.J., Alharbi, N.I. and Albugami, M., 2023. The use of a Technology Acceptance Model (TAM) to predict patients' usage of a personal health record system: The role of security, privacy, and usability. </w:t>
      </w:r>
      <w:r w:rsidDel="00000000" w:rsidR="00000000" w:rsidRPr="00000000">
        <w:rPr>
          <w:i w:val="1"/>
          <w:rtl w:val="0"/>
        </w:rPr>
        <w:t xml:space="preserve">International Journal of Environmental Research and Public Health</w:t>
      </w:r>
      <w:r w:rsidDel="00000000" w:rsidR="00000000" w:rsidRPr="00000000">
        <w:rPr>
          <w:rtl w:val="0"/>
        </w:rPr>
        <w:t xml:space="preserve">, 20(2), 1347. </w:t>
      </w:r>
      <w:hyperlink r:id="rId30">
        <w:r w:rsidDel="00000000" w:rsidR="00000000" w:rsidRPr="00000000">
          <w:rPr>
            <w:color w:val="0000ff"/>
            <w:u w:val="single"/>
            <w:rtl w:val="0"/>
          </w:rPr>
          <w:t xml:space="preserve">https://doi.org/10.3390/ijerph20021347</w:t>
        </w:r>
      </w:hyperlink>
      <w:r w:rsidDel="00000000" w:rsidR="00000000" w:rsidRPr="00000000">
        <w:rPr>
          <w:rtl w:val="0"/>
        </w:rPr>
      </w:r>
    </w:p>
    <w:p w:rsidR="00000000" w:rsidDel="00000000" w:rsidP="00000000" w:rsidRDefault="00000000" w:rsidRPr="00000000" w14:paraId="00001750">
      <w:pPr>
        <w:spacing w:after="280" w:before="280" w:lineRule="auto"/>
        <w:jc w:val="both"/>
        <w:rPr/>
      </w:pPr>
      <w:r w:rsidDel="00000000" w:rsidR="00000000" w:rsidRPr="00000000">
        <w:rPr>
          <w:rtl w:val="0"/>
        </w:rPr>
        <w:t xml:space="preserve">Ambarwati, R., Harja, Y. and Thamrin, S., 2020. The role of facilitating conditions and user habits: A case of Indonesian online learning platform. </w:t>
      </w:r>
      <w:r w:rsidDel="00000000" w:rsidR="00000000" w:rsidRPr="00000000">
        <w:rPr>
          <w:i w:val="1"/>
          <w:rtl w:val="0"/>
        </w:rPr>
        <w:t xml:space="preserve">The Journal of Asian Finance, Economics and Business</w:t>
      </w:r>
      <w:r w:rsidDel="00000000" w:rsidR="00000000" w:rsidRPr="00000000">
        <w:rPr>
          <w:rtl w:val="0"/>
        </w:rPr>
        <w:t xml:space="preserve">, 7(10), pp.481–489. </w:t>
      </w:r>
      <w:hyperlink r:id="rId31">
        <w:r w:rsidDel="00000000" w:rsidR="00000000" w:rsidRPr="00000000">
          <w:rPr>
            <w:color w:val="0000ff"/>
            <w:u w:val="single"/>
            <w:rtl w:val="0"/>
          </w:rPr>
          <w:t xml:space="preserve">https://doi.org/10.13106/jafeb.2020.vol7.no10.481</w:t>
        </w:r>
      </w:hyperlink>
      <w:r w:rsidDel="00000000" w:rsidR="00000000" w:rsidRPr="00000000">
        <w:rPr>
          <w:rtl w:val="0"/>
        </w:rPr>
      </w:r>
    </w:p>
    <w:p w:rsidR="00000000" w:rsidDel="00000000" w:rsidP="00000000" w:rsidRDefault="00000000" w:rsidRPr="00000000" w14:paraId="00001751">
      <w:pPr>
        <w:spacing w:after="280" w:before="280" w:lineRule="auto"/>
        <w:jc w:val="both"/>
        <w:rPr/>
      </w:pPr>
      <w:r w:rsidDel="00000000" w:rsidR="00000000" w:rsidRPr="00000000">
        <w:rPr>
          <w:rtl w:val="0"/>
        </w:rPr>
        <w:t xml:space="preserve">Andrew, J., Isravel, D.P., Sagayam, K.M., Bhushan, B., Sei, Y. and Eunice, J., 2023. Blockchain for healthcare systems: Architecture, security challenges, trends and future directions. </w:t>
      </w:r>
      <w:r w:rsidDel="00000000" w:rsidR="00000000" w:rsidRPr="00000000">
        <w:rPr>
          <w:i w:val="1"/>
          <w:rtl w:val="0"/>
        </w:rPr>
        <w:t xml:space="preserve">Journal of Network and Computer Applications</w:t>
      </w:r>
      <w:r w:rsidDel="00000000" w:rsidR="00000000" w:rsidRPr="00000000">
        <w:rPr>
          <w:rtl w:val="0"/>
        </w:rPr>
        <w:t xml:space="preserve">, 215, 103633. </w:t>
      </w:r>
      <w:hyperlink r:id="rId32">
        <w:r w:rsidDel="00000000" w:rsidR="00000000" w:rsidRPr="00000000">
          <w:rPr>
            <w:color w:val="0000ff"/>
            <w:u w:val="single"/>
            <w:rtl w:val="0"/>
          </w:rPr>
          <w:t xml:space="preserve">https://doi.org/10.1016/j.jnca.2023.103633</w:t>
        </w:r>
      </w:hyperlink>
      <w:r w:rsidDel="00000000" w:rsidR="00000000" w:rsidRPr="00000000">
        <w:rPr>
          <w:rtl w:val="0"/>
        </w:rPr>
      </w:r>
    </w:p>
    <w:p w:rsidR="00000000" w:rsidDel="00000000" w:rsidP="00000000" w:rsidRDefault="00000000" w:rsidRPr="00000000" w14:paraId="00001752">
      <w:pPr>
        <w:spacing w:after="280" w:before="280" w:lineRule="auto"/>
        <w:jc w:val="both"/>
        <w:rPr/>
      </w:pPr>
      <w:r w:rsidDel="00000000" w:rsidR="00000000" w:rsidRPr="00000000">
        <w:rPr>
          <w:rtl w:val="0"/>
        </w:rPr>
        <w:t xml:space="preserve">Andrews, S.R. and Harch, P.G., 2024. Systematic review and dosage analysis: Hyperbaric oxygen therapy efficacy in the treatment of posttraumatic stress disorder. </w:t>
      </w:r>
      <w:r w:rsidDel="00000000" w:rsidR="00000000" w:rsidRPr="00000000">
        <w:rPr>
          <w:i w:val="1"/>
          <w:rtl w:val="0"/>
        </w:rPr>
        <w:t xml:space="preserve">School of Medicine Faculty Publications</w:t>
      </w:r>
      <w:r w:rsidDel="00000000" w:rsidR="00000000" w:rsidRPr="00000000">
        <w:rPr>
          <w:rtl w:val="0"/>
        </w:rPr>
        <w:t xml:space="preserve">, 2714. </w:t>
      </w:r>
      <w:hyperlink r:id="rId33">
        <w:r w:rsidDel="00000000" w:rsidR="00000000" w:rsidRPr="00000000">
          <w:rPr>
            <w:color w:val="0000ff"/>
            <w:u w:val="single"/>
            <w:rtl w:val="0"/>
          </w:rPr>
          <w:t xml:space="preserve">https://doi.org/10.3389/fneur.2024.1360311</w:t>
        </w:r>
      </w:hyperlink>
      <w:r w:rsidDel="00000000" w:rsidR="00000000" w:rsidRPr="00000000">
        <w:rPr>
          <w:rtl w:val="0"/>
        </w:rPr>
      </w:r>
    </w:p>
    <w:p w:rsidR="00000000" w:rsidDel="00000000" w:rsidP="00000000" w:rsidRDefault="00000000" w:rsidRPr="00000000" w14:paraId="00001753">
      <w:pPr>
        <w:spacing w:after="280" w:before="280" w:lineRule="auto"/>
        <w:jc w:val="both"/>
        <w:rPr/>
      </w:pPr>
      <w:r w:rsidDel="00000000" w:rsidR="00000000" w:rsidRPr="00000000">
        <w:rPr>
          <w:rtl w:val="0"/>
        </w:rPr>
        <w:t xml:space="preserve">Apple, 2024. How to use the Blood Oxygen app on Apple Watch - Apple Support (IN). </w:t>
      </w:r>
      <w:r w:rsidDel="00000000" w:rsidR="00000000" w:rsidRPr="00000000">
        <w:rPr>
          <w:i w:val="1"/>
          <w:rtl w:val="0"/>
        </w:rPr>
        <w:t xml:space="preserve">Apple Support</w:t>
      </w:r>
      <w:r w:rsidDel="00000000" w:rsidR="00000000" w:rsidRPr="00000000">
        <w:rPr>
          <w:rtl w:val="0"/>
        </w:rPr>
        <w:t xml:space="preserve">. [online] 24 June. Available at: </w:t>
      </w:r>
      <w:hyperlink r:id="rId34">
        <w:r w:rsidDel="00000000" w:rsidR="00000000" w:rsidRPr="00000000">
          <w:rPr>
            <w:color w:val="0000ff"/>
            <w:u w:val="single"/>
            <w:rtl w:val="0"/>
          </w:rPr>
          <w:t xml:space="preserve">https://support.apple.com/en-in/120358#:~:text=Blood%20Oxygen%20app%20measurements%20are,at%20least%2018%20years%20old</w:t>
        </w:r>
      </w:hyperlink>
      <w:r w:rsidDel="00000000" w:rsidR="00000000" w:rsidRPr="00000000">
        <w:rPr>
          <w:rtl w:val="0"/>
        </w:rPr>
        <w:t xml:space="preserve"> [Accessed 18 May 2025].</w:t>
      </w:r>
    </w:p>
    <w:p w:rsidR="00000000" w:rsidDel="00000000" w:rsidP="00000000" w:rsidRDefault="00000000" w:rsidRPr="00000000" w14:paraId="00001754">
      <w:pPr>
        <w:spacing w:after="280" w:before="280" w:lineRule="auto"/>
        <w:jc w:val="both"/>
        <w:rPr/>
      </w:pPr>
      <w:r w:rsidDel="00000000" w:rsidR="00000000" w:rsidRPr="00000000">
        <w:rPr>
          <w:rtl w:val="0"/>
        </w:rPr>
        <w:t xml:space="preserve">Armstrong, K., Rose, A., Peters, N., Long, J.A. and McMurphy, S., 2006. Distrust of the health care system and self-reported health in the United States. </w:t>
      </w:r>
      <w:r w:rsidDel="00000000" w:rsidR="00000000" w:rsidRPr="00000000">
        <w:rPr>
          <w:i w:val="1"/>
          <w:rtl w:val="0"/>
        </w:rPr>
        <w:t xml:space="preserve">Journal of General Internal Medicine</w:t>
      </w:r>
      <w:r w:rsidDel="00000000" w:rsidR="00000000" w:rsidRPr="00000000">
        <w:rPr>
          <w:rtl w:val="0"/>
        </w:rPr>
        <w:t xml:space="preserve">, 21(4), pp.292–297. </w:t>
      </w:r>
      <w:hyperlink r:id="rId35">
        <w:r w:rsidDel="00000000" w:rsidR="00000000" w:rsidRPr="00000000">
          <w:rPr>
            <w:color w:val="0000ff"/>
            <w:u w:val="single"/>
            <w:rtl w:val="0"/>
          </w:rPr>
          <w:t xml:space="preserve">https://doi.org/10.1111/j.1525-1497.2006.00390.x</w:t>
        </w:r>
      </w:hyperlink>
      <w:r w:rsidDel="00000000" w:rsidR="00000000" w:rsidRPr="00000000">
        <w:rPr>
          <w:rtl w:val="0"/>
        </w:rPr>
      </w:r>
    </w:p>
    <w:p w:rsidR="00000000" w:rsidDel="00000000" w:rsidP="00000000" w:rsidRDefault="00000000" w:rsidRPr="00000000" w14:paraId="00001755">
      <w:pPr>
        <w:spacing w:after="280" w:before="280" w:lineRule="auto"/>
        <w:jc w:val="both"/>
        <w:rPr/>
      </w:pPr>
      <w:r w:rsidDel="00000000" w:rsidR="00000000" w:rsidRPr="00000000">
        <w:rPr>
          <w:rtl w:val="0"/>
        </w:rPr>
        <w:t xml:space="preserve">Ayanwale, M.A. and Ndlovu, M., 2024. Investigating factors of students' behavioral intentions to adopt chatbot technologies in higher education: Perspective from expanded diffusion theory of innovation. </w:t>
      </w:r>
      <w:r w:rsidDel="00000000" w:rsidR="00000000" w:rsidRPr="00000000">
        <w:rPr>
          <w:i w:val="1"/>
          <w:rtl w:val="0"/>
        </w:rPr>
        <w:t xml:space="preserve">Computers in Human Behavior Reports</w:t>
      </w:r>
      <w:r w:rsidDel="00000000" w:rsidR="00000000" w:rsidRPr="00000000">
        <w:rPr>
          <w:rtl w:val="0"/>
        </w:rPr>
        <w:t xml:space="preserve">, 14, 100396. </w:t>
      </w:r>
      <w:hyperlink r:id="rId36">
        <w:r w:rsidDel="00000000" w:rsidR="00000000" w:rsidRPr="00000000">
          <w:rPr>
            <w:color w:val="0000ff"/>
            <w:u w:val="single"/>
            <w:rtl w:val="0"/>
          </w:rPr>
          <w:t xml:space="preserve">https://doi.org/10.1016/j.chbr.2024.100396</w:t>
        </w:r>
      </w:hyperlink>
      <w:r w:rsidDel="00000000" w:rsidR="00000000" w:rsidRPr="00000000">
        <w:rPr>
          <w:rtl w:val="0"/>
        </w:rPr>
      </w:r>
    </w:p>
    <w:p w:rsidR="00000000" w:rsidDel="00000000" w:rsidP="00000000" w:rsidRDefault="00000000" w:rsidRPr="00000000" w14:paraId="00001756">
      <w:pPr>
        <w:spacing w:after="280" w:before="280" w:lineRule="auto"/>
        <w:jc w:val="both"/>
        <w:rPr/>
      </w:pPr>
      <w:r w:rsidDel="00000000" w:rsidR="00000000" w:rsidRPr="00000000">
        <w:rPr>
          <w:rtl w:val="0"/>
        </w:rPr>
        <w:t xml:space="preserve">Babchin, A., Levich, E., Melamed, Y. and Sivashinsky, G., 2011. Osmotic phenomena in application for hyperbaric oxygen treatment. </w:t>
      </w:r>
      <w:r w:rsidDel="00000000" w:rsidR="00000000" w:rsidRPr="00000000">
        <w:rPr>
          <w:i w:val="1"/>
          <w:rtl w:val="0"/>
        </w:rPr>
        <w:t xml:space="preserve">Colloids and Surfaces B: Biointerfaces</w:t>
      </w:r>
      <w:r w:rsidDel="00000000" w:rsidR="00000000" w:rsidRPr="00000000">
        <w:rPr>
          <w:rtl w:val="0"/>
        </w:rPr>
        <w:t xml:space="preserve">, 83(1), pp.128–132. </w:t>
      </w:r>
      <w:hyperlink r:id="rId37">
        <w:r w:rsidDel="00000000" w:rsidR="00000000" w:rsidRPr="00000000">
          <w:rPr>
            <w:color w:val="0000ff"/>
            <w:u w:val="single"/>
            <w:rtl w:val="0"/>
          </w:rPr>
          <w:t xml:space="preserve">https://doi.org/10.1016/j.colsurfb.2010.11.019</w:t>
        </w:r>
      </w:hyperlink>
      <w:r w:rsidDel="00000000" w:rsidR="00000000" w:rsidRPr="00000000">
        <w:rPr>
          <w:rtl w:val="0"/>
        </w:rPr>
      </w:r>
    </w:p>
    <w:p w:rsidR="00000000" w:rsidDel="00000000" w:rsidP="00000000" w:rsidRDefault="00000000" w:rsidRPr="00000000" w14:paraId="00001757">
      <w:pPr>
        <w:spacing w:after="280" w:before="280" w:lineRule="auto"/>
        <w:jc w:val="both"/>
        <w:rPr/>
      </w:pPr>
      <w:r w:rsidDel="00000000" w:rsidR="00000000" w:rsidRPr="00000000">
        <w:rPr>
          <w:rtl w:val="0"/>
        </w:rPr>
        <w:t xml:space="preserve">Bajwa, J., Munir, U., Nori, A. and Williams, B., 2021. Artificial intelligence in healthcare: Transforming the practice of medicine. </w:t>
      </w:r>
      <w:r w:rsidDel="00000000" w:rsidR="00000000" w:rsidRPr="00000000">
        <w:rPr>
          <w:i w:val="1"/>
          <w:rtl w:val="0"/>
        </w:rPr>
        <w:t xml:space="preserve">Future Healthcare Journal</w:t>
      </w:r>
      <w:r w:rsidDel="00000000" w:rsidR="00000000" w:rsidRPr="00000000">
        <w:rPr>
          <w:rtl w:val="0"/>
        </w:rPr>
        <w:t xml:space="preserve">, 8(2), pp.e188–e194. </w:t>
      </w:r>
      <w:hyperlink r:id="rId38">
        <w:r w:rsidDel="00000000" w:rsidR="00000000" w:rsidRPr="00000000">
          <w:rPr>
            <w:color w:val="0000ff"/>
            <w:u w:val="single"/>
            <w:rtl w:val="0"/>
          </w:rPr>
          <w:t xml:space="preserve">https://doi.org/10.7861/fhj.2021-0095</w:t>
        </w:r>
      </w:hyperlink>
      <w:r w:rsidDel="00000000" w:rsidR="00000000" w:rsidRPr="00000000">
        <w:rPr>
          <w:rtl w:val="0"/>
        </w:rPr>
      </w:r>
    </w:p>
    <w:p w:rsidR="00000000" w:rsidDel="00000000" w:rsidP="00000000" w:rsidRDefault="00000000" w:rsidRPr="00000000" w14:paraId="00001758">
      <w:pPr>
        <w:spacing w:after="280" w:before="280" w:lineRule="auto"/>
        <w:jc w:val="both"/>
        <w:rPr/>
      </w:pPr>
      <w:r w:rsidDel="00000000" w:rsidR="00000000" w:rsidRPr="00000000">
        <w:rPr>
          <w:rtl w:val="0"/>
        </w:rPr>
        <w:t xml:space="preserve">Barry, M.J. and Edgman-Levitan, S., 2012. Shared decision making—pinnacle of patient-centered care. </w:t>
      </w:r>
      <w:r w:rsidDel="00000000" w:rsidR="00000000" w:rsidRPr="00000000">
        <w:rPr>
          <w:i w:val="1"/>
          <w:rtl w:val="0"/>
        </w:rPr>
        <w:t xml:space="preserve">New England Journal of Medicine</w:t>
      </w:r>
      <w:r w:rsidDel="00000000" w:rsidR="00000000" w:rsidRPr="00000000">
        <w:rPr>
          <w:rtl w:val="0"/>
        </w:rPr>
        <w:t xml:space="preserve">, 366(9), pp.780–781. </w:t>
      </w:r>
      <w:hyperlink r:id="rId39">
        <w:r w:rsidDel="00000000" w:rsidR="00000000" w:rsidRPr="00000000">
          <w:rPr>
            <w:color w:val="0000ff"/>
            <w:u w:val="single"/>
            <w:rtl w:val="0"/>
          </w:rPr>
          <w:t xml:space="preserve">https://doi.org/10.1056/nejmp1109283</w:t>
        </w:r>
      </w:hyperlink>
      <w:r w:rsidDel="00000000" w:rsidR="00000000" w:rsidRPr="00000000">
        <w:rPr>
          <w:rtl w:val="0"/>
        </w:rPr>
      </w:r>
    </w:p>
    <w:p w:rsidR="00000000" w:rsidDel="00000000" w:rsidP="00000000" w:rsidRDefault="00000000" w:rsidRPr="00000000" w14:paraId="00001759">
      <w:pPr>
        <w:spacing w:after="280" w:before="280" w:lineRule="auto"/>
        <w:jc w:val="both"/>
        <w:rPr/>
      </w:pPr>
      <w:r w:rsidDel="00000000" w:rsidR="00000000" w:rsidRPr="00000000">
        <w:rPr>
          <w:rtl w:val="0"/>
        </w:rPr>
        <w:t xml:space="preserve">Bathula, A., Gupta, S.K., Merugu, S. and Others, 2024. Blockchain, artificial intelligence, and healthcare: The tripod of future—A narrative review. </w:t>
      </w:r>
      <w:r w:rsidDel="00000000" w:rsidR="00000000" w:rsidRPr="00000000">
        <w:rPr>
          <w:i w:val="1"/>
          <w:rtl w:val="0"/>
        </w:rPr>
        <w:t xml:space="preserve">Artificial Intelligence Review</w:t>
      </w:r>
      <w:r w:rsidDel="00000000" w:rsidR="00000000" w:rsidRPr="00000000">
        <w:rPr>
          <w:rtl w:val="0"/>
        </w:rPr>
        <w:t xml:space="preserve">, 57, 238. </w:t>
      </w:r>
      <w:hyperlink r:id="rId40">
        <w:r w:rsidDel="00000000" w:rsidR="00000000" w:rsidRPr="00000000">
          <w:rPr>
            <w:color w:val="0000ff"/>
            <w:u w:val="single"/>
            <w:rtl w:val="0"/>
          </w:rPr>
          <w:t xml:space="preserve">https://doi.org/10.1007/s10462-024-10873-5</w:t>
        </w:r>
      </w:hyperlink>
      <w:r w:rsidDel="00000000" w:rsidR="00000000" w:rsidRPr="00000000">
        <w:rPr>
          <w:rtl w:val="0"/>
        </w:rPr>
      </w:r>
    </w:p>
    <w:p w:rsidR="00000000" w:rsidDel="00000000" w:rsidP="00000000" w:rsidRDefault="00000000" w:rsidRPr="00000000" w14:paraId="0000175A">
      <w:pPr>
        <w:spacing w:after="280" w:before="280" w:lineRule="auto"/>
        <w:jc w:val="both"/>
        <w:rPr/>
      </w:pPr>
      <w:r w:rsidDel="00000000" w:rsidR="00000000" w:rsidRPr="00000000">
        <w:rPr>
          <w:rtl w:val="0"/>
        </w:rPr>
        <w:t xml:space="preserve">Beauchemin, M., Cohn, E. and Shelton, R.C., 2019. Implementation of clinical practice guidelines in the health care setting: A concept analysis. </w:t>
      </w:r>
      <w:r w:rsidDel="00000000" w:rsidR="00000000" w:rsidRPr="00000000">
        <w:rPr>
          <w:i w:val="1"/>
          <w:rtl w:val="0"/>
        </w:rPr>
        <w:t xml:space="preserve">ANS. Advances in Nursing Science</w:t>
      </w:r>
      <w:r w:rsidDel="00000000" w:rsidR="00000000" w:rsidRPr="00000000">
        <w:rPr>
          <w:rtl w:val="0"/>
        </w:rPr>
        <w:t xml:space="preserve">, 42(4), pp.307–324. </w:t>
      </w:r>
      <w:hyperlink r:id="rId41">
        <w:r w:rsidDel="00000000" w:rsidR="00000000" w:rsidRPr="00000000">
          <w:rPr>
            <w:color w:val="0000ff"/>
            <w:u w:val="single"/>
            <w:rtl w:val="0"/>
          </w:rPr>
          <w:t xml:space="preserve">https://doi.org/10.1097/ANS.0000000000000263</w:t>
        </w:r>
      </w:hyperlink>
      <w:r w:rsidDel="00000000" w:rsidR="00000000" w:rsidRPr="00000000">
        <w:rPr>
          <w:rtl w:val="0"/>
        </w:rPr>
      </w:r>
    </w:p>
    <w:p w:rsidR="00000000" w:rsidDel="00000000" w:rsidP="00000000" w:rsidRDefault="00000000" w:rsidRPr="00000000" w14:paraId="0000175B">
      <w:pPr>
        <w:spacing w:after="280" w:before="280" w:lineRule="auto"/>
        <w:jc w:val="both"/>
        <w:rPr/>
      </w:pPr>
      <w:r w:rsidDel="00000000" w:rsidR="00000000" w:rsidRPr="00000000">
        <w:rPr>
          <w:rtl w:val="0"/>
        </w:rPr>
        <w:t xml:space="preserve">Belanche, D., Casaló, L.V., Flavián, M. and Ibáñez-Sánchez, S., 2021. Building influencers' credibility on Instagram: Effects on followers’ attitudes and behavioral responses toward the influencer. </w:t>
      </w:r>
      <w:r w:rsidDel="00000000" w:rsidR="00000000" w:rsidRPr="00000000">
        <w:rPr>
          <w:i w:val="1"/>
          <w:rtl w:val="0"/>
        </w:rPr>
        <w:t xml:space="preserve">Journal of Retailing and Consumer Services</w:t>
      </w:r>
      <w:r w:rsidDel="00000000" w:rsidR="00000000" w:rsidRPr="00000000">
        <w:rPr>
          <w:rtl w:val="0"/>
        </w:rPr>
        <w:t xml:space="preserve">, 61, 102585. </w:t>
      </w:r>
      <w:hyperlink r:id="rId42">
        <w:r w:rsidDel="00000000" w:rsidR="00000000" w:rsidRPr="00000000">
          <w:rPr>
            <w:color w:val="0000ff"/>
            <w:u w:val="single"/>
            <w:rtl w:val="0"/>
          </w:rPr>
          <w:t xml:space="preserve">https://doi.org/10.1016/j.jretconser.2021.102585</w:t>
        </w:r>
      </w:hyperlink>
      <w:r w:rsidDel="00000000" w:rsidR="00000000" w:rsidRPr="00000000">
        <w:rPr>
          <w:rtl w:val="0"/>
        </w:rPr>
      </w:r>
    </w:p>
    <w:p w:rsidR="00000000" w:rsidDel="00000000" w:rsidP="00000000" w:rsidRDefault="00000000" w:rsidRPr="00000000" w14:paraId="0000175C">
      <w:pPr>
        <w:spacing w:after="280" w:before="280" w:lineRule="auto"/>
        <w:jc w:val="both"/>
        <w:rPr/>
      </w:pPr>
      <w:r w:rsidDel="00000000" w:rsidR="00000000" w:rsidRPr="00000000">
        <w:rPr>
          <w:rtl w:val="0"/>
        </w:rPr>
        <w:t xml:space="preserve">Belfrage, S., Helgesson, G. and Lynøe, N., 2022. Trust and digital privacy in healthcare: A cross-sectional descriptive study of trust and attitudes towards uses of electronic health data among the general public in Sweden. </w:t>
      </w:r>
      <w:r w:rsidDel="00000000" w:rsidR="00000000" w:rsidRPr="00000000">
        <w:rPr>
          <w:i w:val="1"/>
          <w:rtl w:val="0"/>
        </w:rPr>
        <w:t xml:space="preserve">BMC Medical Ethics</w:t>
      </w:r>
      <w:r w:rsidDel="00000000" w:rsidR="00000000" w:rsidRPr="00000000">
        <w:rPr>
          <w:rtl w:val="0"/>
        </w:rPr>
        <w:t xml:space="preserve">, 23(1), 19. </w:t>
      </w:r>
      <w:hyperlink r:id="rId43">
        <w:r w:rsidDel="00000000" w:rsidR="00000000" w:rsidRPr="00000000">
          <w:rPr>
            <w:color w:val="0000ff"/>
            <w:u w:val="single"/>
            <w:rtl w:val="0"/>
          </w:rPr>
          <w:t xml:space="preserve">https://doi.org/10.1186/s12910-022-00758-z</w:t>
        </w:r>
      </w:hyperlink>
      <w:r w:rsidDel="00000000" w:rsidR="00000000" w:rsidRPr="00000000">
        <w:rPr>
          <w:rtl w:val="0"/>
        </w:rPr>
      </w:r>
    </w:p>
    <w:p w:rsidR="00000000" w:rsidDel="00000000" w:rsidP="00000000" w:rsidRDefault="00000000" w:rsidRPr="00000000" w14:paraId="0000175D">
      <w:pPr>
        <w:spacing w:after="280" w:before="280" w:lineRule="auto"/>
        <w:jc w:val="both"/>
        <w:rPr/>
      </w:pPr>
      <w:r w:rsidDel="00000000" w:rsidR="00000000" w:rsidRPr="00000000">
        <w:rPr>
          <w:rtl w:val="0"/>
        </w:rPr>
        <w:t xml:space="preserve">Berryhill, S., Morton, C.J., Dean, A., Berryhill, A., Provencio-Dean, N., Patel, S.I., Estep, L., Combs, D., Mashaqi, S., Gerald, L.B., Krishnan, J.A. and Parthasarathy, S., 2020. Effect of wearables on sleep in healthy individuals: A randomized crossover trial and validation study. </w:t>
      </w:r>
      <w:r w:rsidDel="00000000" w:rsidR="00000000" w:rsidRPr="00000000">
        <w:rPr>
          <w:i w:val="1"/>
          <w:rtl w:val="0"/>
        </w:rPr>
        <w:t xml:space="preserve">Journal of Clinical Sleep Medicine: JCSM: Official Publication of the American Academy of Sleep Medicine</w:t>
      </w:r>
      <w:r w:rsidDel="00000000" w:rsidR="00000000" w:rsidRPr="00000000">
        <w:rPr>
          <w:rtl w:val="0"/>
        </w:rPr>
        <w:t xml:space="preserve">, 16(5), pp.775–783. </w:t>
      </w:r>
      <w:hyperlink r:id="rId44">
        <w:r w:rsidDel="00000000" w:rsidR="00000000" w:rsidRPr="00000000">
          <w:rPr>
            <w:color w:val="0000ff"/>
            <w:u w:val="single"/>
            <w:rtl w:val="0"/>
          </w:rPr>
          <w:t xml:space="preserve">https://doi.org/10.5664/jcsm.8356</w:t>
        </w:r>
      </w:hyperlink>
      <w:r w:rsidDel="00000000" w:rsidR="00000000" w:rsidRPr="00000000">
        <w:rPr>
          <w:rtl w:val="0"/>
        </w:rPr>
      </w:r>
    </w:p>
    <w:p w:rsidR="00000000" w:rsidDel="00000000" w:rsidP="00000000" w:rsidRDefault="00000000" w:rsidRPr="00000000" w14:paraId="0000175E">
      <w:pPr>
        <w:spacing w:after="280" w:before="280" w:lineRule="auto"/>
        <w:jc w:val="both"/>
        <w:rPr/>
      </w:pPr>
      <w:r w:rsidDel="00000000" w:rsidR="00000000" w:rsidRPr="00000000">
        <w:rPr>
          <w:rtl w:val="0"/>
        </w:rPr>
        <w:t xml:space="preserve">Betz, U.A.K., Arora, L., Assal, R.A., Azevedo, H., Baldwin, J., Becker, M.S., Bostock, S., Cheng, V., Egle, T., Ferrari, N., Schneider-Futschik, E.K., Gerhardy, S., Hammes, A., Harzheim, A., Herget, T., Jauset, C., Kretschmer, S., Lammie, C., Kloss, N. and Zhao, G., 2023. Game changers in science and technology – now and beyond. </w:t>
      </w:r>
      <w:r w:rsidDel="00000000" w:rsidR="00000000" w:rsidRPr="00000000">
        <w:rPr>
          <w:i w:val="1"/>
          <w:rtl w:val="0"/>
        </w:rPr>
        <w:t xml:space="preserve">Technological Forecasting and Social Change</w:t>
      </w:r>
      <w:r w:rsidDel="00000000" w:rsidR="00000000" w:rsidRPr="00000000">
        <w:rPr>
          <w:rtl w:val="0"/>
        </w:rPr>
        <w:t xml:space="preserve">, 193, 122588. </w:t>
      </w:r>
      <w:hyperlink r:id="rId45">
        <w:r w:rsidDel="00000000" w:rsidR="00000000" w:rsidRPr="00000000">
          <w:rPr>
            <w:color w:val="0000ff"/>
            <w:u w:val="single"/>
            <w:rtl w:val="0"/>
          </w:rPr>
          <w:t xml:space="preserve">https://doi.org/10.1016/j.techfore.2023.122588</w:t>
        </w:r>
      </w:hyperlink>
      <w:r w:rsidDel="00000000" w:rsidR="00000000" w:rsidRPr="00000000">
        <w:rPr>
          <w:rtl w:val="0"/>
        </w:rPr>
      </w:r>
    </w:p>
    <w:p w:rsidR="00000000" w:rsidDel="00000000" w:rsidP="00000000" w:rsidRDefault="00000000" w:rsidRPr="00000000" w14:paraId="0000175F">
      <w:pPr>
        <w:spacing w:after="280" w:before="280" w:lineRule="auto"/>
        <w:jc w:val="both"/>
        <w:rPr/>
      </w:pPr>
      <w:r w:rsidDel="00000000" w:rsidR="00000000" w:rsidRPr="00000000">
        <w:rPr>
          <w:rtl w:val="0"/>
        </w:rPr>
        <w:t xml:space="preserve">Bhatia, D., Paul, S., Acharjee, T. and Ramachairy, S.S., 2024. Biosensors and their widespread impact on human health. </w:t>
      </w:r>
      <w:r w:rsidDel="00000000" w:rsidR="00000000" w:rsidRPr="00000000">
        <w:rPr>
          <w:i w:val="1"/>
          <w:rtl w:val="0"/>
        </w:rPr>
        <w:t xml:space="preserve">Sensors International</w:t>
      </w:r>
      <w:r w:rsidDel="00000000" w:rsidR="00000000" w:rsidRPr="00000000">
        <w:rPr>
          <w:rtl w:val="0"/>
        </w:rPr>
        <w:t xml:space="preserve">, 5, 100257. </w:t>
      </w:r>
      <w:hyperlink r:id="rId46">
        <w:r w:rsidDel="00000000" w:rsidR="00000000" w:rsidRPr="00000000">
          <w:rPr>
            <w:color w:val="0000ff"/>
            <w:u w:val="single"/>
            <w:rtl w:val="0"/>
          </w:rPr>
          <w:t xml:space="preserve">https://doi.org/10.1016/j.sintl.2023.100257</w:t>
        </w:r>
      </w:hyperlink>
      <w:r w:rsidDel="00000000" w:rsidR="00000000" w:rsidRPr="00000000">
        <w:rPr>
          <w:rtl w:val="0"/>
        </w:rPr>
      </w:r>
    </w:p>
    <w:p w:rsidR="00000000" w:rsidDel="00000000" w:rsidP="00000000" w:rsidRDefault="00000000" w:rsidRPr="00000000" w14:paraId="00001760">
      <w:pPr>
        <w:spacing w:after="280" w:before="280" w:lineRule="auto"/>
        <w:jc w:val="both"/>
        <w:rPr/>
      </w:pPr>
      <w:r w:rsidDel="00000000" w:rsidR="00000000" w:rsidRPr="00000000">
        <w:rPr>
          <w:rtl w:val="0"/>
        </w:rPr>
        <w:t xml:space="preserve">Bhutani, S. and Vishwanath, G., 2012. Hyperbaric oxygen and wound healing. </w:t>
      </w:r>
      <w:r w:rsidDel="00000000" w:rsidR="00000000" w:rsidRPr="00000000">
        <w:rPr>
          <w:i w:val="1"/>
          <w:rtl w:val="0"/>
        </w:rPr>
        <w:t xml:space="preserve">Indian Journal of Plastic Surgery: Official Publication of the Association of Plastic Surgeons of India</w:t>
      </w:r>
      <w:r w:rsidDel="00000000" w:rsidR="00000000" w:rsidRPr="00000000">
        <w:rPr>
          <w:rtl w:val="0"/>
        </w:rPr>
        <w:t xml:space="preserve">, 45(2), pp.316–324. </w:t>
      </w:r>
      <w:hyperlink r:id="rId47">
        <w:r w:rsidDel="00000000" w:rsidR="00000000" w:rsidRPr="00000000">
          <w:rPr>
            <w:color w:val="0000ff"/>
            <w:u w:val="single"/>
            <w:rtl w:val="0"/>
          </w:rPr>
          <w:t xml:space="preserve">https://doi.org/10.4103/0970-0358.101309</w:t>
        </w:r>
      </w:hyperlink>
      <w:r w:rsidDel="00000000" w:rsidR="00000000" w:rsidRPr="00000000">
        <w:rPr>
          <w:rtl w:val="0"/>
        </w:rPr>
      </w:r>
    </w:p>
    <w:p w:rsidR="00000000" w:rsidDel="00000000" w:rsidP="00000000" w:rsidRDefault="00000000" w:rsidRPr="00000000" w14:paraId="00001761">
      <w:pPr>
        <w:spacing w:after="280" w:before="280" w:lineRule="auto"/>
        <w:jc w:val="both"/>
        <w:rPr/>
      </w:pPr>
      <w:r w:rsidDel="00000000" w:rsidR="00000000" w:rsidRPr="00000000">
        <w:rPr>
          <w:rtl w:val="0"/>
        </w:rPr>
        <w:t xml:space="preserve">Bianchi, C., Tuzovic, S. and Kuppelwieser, V.G., 2023. Investigating the drivers of wearable technology adoption for healthcare in South America. </w:t>
      </w:r>
      <w:r w:rsidDel="00000000" w:rsidR="00000000" w:rsidRPr="00000000">
        <w:rPr>
          <w:i w:val="1"/>
          <w:rtl w:val="0"/>
        </w:rPr>
        <w:t xml:space="preserve">Information Technology &amp; People</w:t>
      </w:r>
      <w:r w:rsidDel="00000000" w:rsidR="00000000" w:rsidRPr="00000000">
        <w:rPr>
          <w:rtl w:val="0"/>
        </w:rPr>
        <w:t xml:space="preserve">, 36(2), pp.916–939. </w:t>
      </w:r>
      <w:hyperlink r:id="rId48">
        <w:r w:rsidDel="00000000" w:rsidR="00000000" w:rsidRPr="00000000">
          <w:rPr>
            <w:color w:val="0000ff"/>
            <w:u w:val="single"/>
            <w:rtl w:val="0"/>
          </w:rPr>
          <w:t xml:space="preserve">https://doi.org/10.1108/ITP-01-2021-0049</w:t>
        </w:r>
      </w:hyperlink>
      <w:r w:rsidDel="00000000" w:rsidR="00000000" w:rsidRPr="00000000">
        <w:rPr>
          <w:rtl w:val="0"/>
        </w:rPr>
      </w:r>
    </w:p>
    <w:p w:rsidR="00000000" w:rsidDel="00000000" w:rsidP="00000000" w:rsidRDefault="00000000" w:rsidRPr="00000000" w14:paraId="00001762">
      <w:pPr>
        <w:spacing w:after="280" w:before="280" w:lineRule="auto"/>
        <w:jc w:val="both"/>
        <w:rPr/>
      </w:pPr>
      <w:r w:rsidDel="00000000" w:rsidR="00000000" w:rsidRPr="00000000">
        <w:rPr>
          <w:rtl w:val="0"/>
        </w:rPr>
        <w:t xml:space="preserve">Biohacker Supply, n.d. Hyperbaric chambers for sale. [online] Available at: </w:t>
      </w:r>
      <w:hyperlink r:id="rId49">
        <w:r w:rsidDel="00000000" w:rsidR="00000000" w:rsidRPr="00000000">
          <w:rPr>
            <w:color w:val="0000ff"/>
            <w:u w:val="single"/>
            <w:rtl w:val="0"/>
          </w:rPr>
          <w:t xml:space="preserve">https://biohackersupply.com/collections/hyperbaric-chambers-for-sale?srsltid=AfmBOopOFsQVh-dWLESKNOsxO1rr7o4cHkKi68hP9bd9lWonSalSp63E</w:t>
        </w:r>
      </w:hyperlink>
      <w:r w:rsidDel="00000000" w:rsidR="00000000" w:rsidRPr="00000000">
        <w:rPr>
          <w:rtl w:val="0"/>
        </w:rPr>
        <w:t xml:space="preserve"> [Accessed 18 May 2025].</w:t>
      </w:r>
    </w:p>
    <w:p w:rsidR="00000000" w:rsidDel="00000000" w:rsidP="00000000" w:rsidRDefault="00000000" w:rsidRPr="00000000" w14:paraId="00001763">
      <w:pPr>
        <w:spacing w:after="280" w:before="280" w:lineRule="auto"/>
        <w:jc w:val="both"/>
        <w:rPr/>
      </w:pPr>
      <w:r w:rsidDel="00000000" w:rsidR="00000000" w:rsidRPr="00000000">
        <w:rPr>
          <w:rtl w:val="0"/>
        </w:rPr>
        <w:t xml:space="preserve">Bjordal, J.M., Couppé, C., Chow, R.T., Tunér, J. and Ljunggren, A.E., 2003. A systematic review of low level laser therapy with location-specific doses for pain from joint disorders. </w:t>
      </w:r>
      <w:r w:rsidDel="00000000" w:rsidR="00000000" w:rsidRPr="00000000">
        <w:rPr>
          <w:i w:val="1"/>
          <w:rtl w:val="0"/>
        </w:rPr>
        <w:t xml:space="preserve">Australian Journal of Physiotherapy</w:t>
      </w:r>
      <w:r w:rsidDel="00000000" w:rsidR="00000000" w:rsidRPr="00000000">
        <w:rPr>
          <w:rtl w:val="0"/>
        </w:rPr>
        <w:t xml:space="preserve">, 49(2), pp.107–116.</w:t>
      </w:r>
    </w:p>
    <w:p w:rsidR="00000000" w:rsidDel="00000000" w:rsidP="00000000" w:rsidRDefault="00000000" w:rsidRPr="00000000" w14:paraId="00001764">
      <w:pPr>
        <w:spacing w:after="280" w:before="280" w:lineRule="auto"/>
        <w:jc w:val="both"/>
        <w:rPr/>
      </w:pPr>
      <w:r w:rsidDel="00000000" w:rsidR="00000000" w:rsidRPr="00000000">
        <w:rPr>
          <w:rtl w:val="0"/>
        </w:rPr>
        <w:t xml:space="preserve">Blut, M., Chong, A., Tsigna, Z. and Venkatesh, V., 2022. Meta-analysis of the Unified Theory of Acceptance and Use of Technology (UTAUT): Challenging its validity and charting a research agenda in the red ocean. </w:t>
      </w:r>
      <w:r w:rsidDel="00000000" w:rsidR="00000000" w:rsidRPr="00000000">
        <w:rPr>
          <w:i w:val="1"/>
          <w:rtl w:val="0"/>
        </w:rPr>
        <w:t xml:space="preserve">Journal of the Association for Information Systems</w:t>
      </w:r>
      <w:r w:rsidDel="00000000" w:rsidR="00000000" w:rsidRPr="00000000">
        <w:rPr>
          <w:rtl w:val="0"/>
        </w:rPr>
        <w:t xml:space="preserve">, 23(1), pp.13–95. </w:t>
      </w:r>
      <w:hyperlink r:id="rId50">
        <w:r w:rsidDel="00000000" w:rsidR="00000000" w:rsidRPr="00000000">
          <w:rPr>
            <w:color w:val="0000ff"/>
            <w:u w:val="single"/>
            <w:rtl w:val="0"/>
          </w:rPr>
          <w:t xml:space="preserve">https://doi.org/10.17705/1jais.00719</w:t>
        </w:r>
      </w:hyperlink>
      <w:r w:rsidDel="00000000" w:rsidR="00000000" w:rsidRPr="00000000">
        <w:rPr>
          <w:rtl w:val="0"/>
        </w:rPr>
      </w:r>
    </w:p>
    <w:p w:rsidR="00000000" w:rsidDel="00000000" w:rsidP="00000000" w:rsidRDefault="00000000" w:rsidRPr="00000000" w14:paraId="00001765">
      <w:pPr>
        <w:spacing w:after="280" w:before="280" w:lineRule="auto"/>
        <w:jc w:val="both"/>
        <w:rPr/>
      </w:pPr>
      <w:r w:rsidDel="00000000" w:rsidR="00000000" w:rsidRPr="00000000">
        <w:rPr>
          <w:rtl w:val="0"/>
        </w:rPr>
        <w:t xml:space="preserve">Borges do Nascimento, I.J., Abdulazeem, H., Vasanthan, L.T., Martinez, E.Z., Zucoloto, M.L., Østengaard, L., Azzopardi-Muscat, N., Zapata, T. and Novillo-Ortiz, D., 2023. Barriers and facilitators to utilizing digital health technologies by healthcare professionals. </w:t>
      </w:r>
      <w:r w:rsidDel="00000000" w:rsidR="00000000" w:rsidRPr="00000000">
        <w:rPr>
          <w:i w:val="1"/>
          <w:rtl w:val="0"/>
        </w:rPr>
        <w:t xml:space="preserve">NPJ Digital Medicine</w:t>
      </w:r>
      <w:r w:rsidDel="00000000" w:rsidR="00000000" w:rsidRPr="00000000">
        <w:rPr>
          <w:rtl w:val="0"/>
        </w:rPr>
        <w:t xml:space="preserve">, 6(1), 161. </w:t>
      </w:r>
      <w:hyperlink r:id="rId51">
        <w:r w:rsidDel="00000000" w:rsidR="00000000" w:rsidRPr="00000000">
          <w:rPr>
            <w:color w:val="0000ff"/>
            <w:u w:val="single"/>
            <w:rtl w:val="0"/>
          </w:rPr>
          <w:t xml:space="preserve">https://doi.org/10.1038/s41746-023-00899-4</w:t>
        </w:r>
      </w:hyperlink>
      <w:r w:rsidDel="00000000" w:rsidR="00000000" w:rsidRPr="00000000">
        <w:rPr>
          <w:rtl w:val="0"/>
        </w:rPr>
      </w:r>
    </w:p>
    <w:p w:rsidR="00000000" w:rsidDel="00000000" w:rsidP="00000000" w:rsidRDefault="00000000" w:rsidRPr="00000000" w14:paraId="00001766">
      <w:pPr>
        <w:spacing w:after="280" w:before="280" w:lineRule="auto"/>
        <w:jc w:val="both"/>
        <w:rPr/>
      </w:pPr>
      <w:r w:rsidDel="00000000" w:rsidR="00000000" w:rsidRPr="00000000">
        <w:rPr>
          <w:rtl w:val="0"/>
        </w:rPr>
        <w:t xml:space="preserve">Boussi-Gross, R., Golan, H., Fishlev, G., Bechor, Y., Volkov, O., Bergan, J., Friedman, M., Hoofien, D., Shlamkovitch, N., Ben-Jacob, E. and Efrati, S., 2013. Hyperbaric oxygen therapy can improve post concussion syndrome years after mild traumatic brain injury: Randomized prospective trial. </w:t>
      </w:r>
      <w:r w:rsidDel="00000000" w:rsidR="00000000" w:rsidRPr="00000000">
        <w:rPr>
          <w:i w:val="1"/>
          <w:rtl w:val="0"/>
        </w:rPr>
        <w:t xml:space="preserve">PLOS ONE</w:t>
      </w:r>
      <w:r w:rsidDel="00000000" w:rsidR="00000000" w:rsidRPr="00000000">
        <w:rPr>
          <w:rtl w:val="0"/>
        </w:rPr>
        <w:t xml:space="preserve">, 8(11), e79995. </w:t>
      </w:r>
      <w:hyperlink r:id="rId52">
        <w:r w:rsidDel="00000000" w:rsidR="00000000" w:rsidRPr="00000000">
          <w:rPr>
            <w:color w:val="0000ff"/>
            <w:u w:val="single"/>
            <w:rtl w:val="0"/>
          </w:rPr>
          <w:t xml:space="preserve">https://doi.org/10.1371/journal.pone.0079995</w:t>
        </w:r>
      </w:hyperlink>
      <w:r w:rsidDel="00000000" w:rsidR="00000000" w:rsidRPr="00000000">
        <w:rPr>
          <w:rtl w:val="0"/>
        </w:rPr>
      </w:r>
    </w:p>
    <w:p w:rsidR="00000000" w:rsidDel="00000000" w:rsidP="00000000" w:rsidRDefault="00000000" w:rsidRPr="00000000" w14:paraId="00001767">
      <w:pPr>
        <w:spacing w:after="280" w:before="280" w:lineRule="auto"/>
        <w:jc w:val="both"/>
        <w:rPr/>
      </w:pPr>
      <w:r w:rsidDel="00000000" w:rsidR="00000000" w:rsidRPr="00000000">
        <w:rPr>
          <w:rtl w:val="0"/>
        </w:rPr>
        <w:t xml:space="preserve">Brönneke, J.B., Müller, J., Mouratis, K., Hagen, J. and Stern, A.D., 2021. Regulatory, legal, and market aspects of smart wearables for cardiac monitoring. </w:t>
      </w:r>
      <w:r w:rsidDel="00000000" w:rsidR="00000000" w:rsidRPr="00000000">
        <w:rPr>
          <w:i w:val="1"/>
          <w:rtl w:val="0"/>
        </w:rPr>
        <w:t xml:space="preserve">Sensors (Basel, Switzerland)</w:t>
      </w:r>
      <w:r w:rsidDel="00000000" w:rsidR="00000000" w:rsidRPr="00000000">
        <w:rPr>
          <w:rtl w:val="0"/>
        </w:rPr>
        <w:t xml:space="preserve">, 21(14), 4937. </w:t>
      </w:r>
      <w:hyperlink r:id="rId53">
        <w:r w:rsidDel="00000000" w:rsidR="00000000" w:rsidRPr="00000000">
          <w:rPr>
            <w:color w:val="0000ff"/>
            <w:u w:val="single"/>
            <w:rtl w:val="0"/>
          </w:rPr>
          <w:t xml:space="preserve">https://doi.org/10.3390/s21144937</w:t>
        </w:r>
      </w:hyperlink>
      <w:r w:rsidDel="00000000" w:rsidR="00000000" w:rsidRPr="00000000">
        <w:rPr>
          <w:rtl w:val="0"/>
        </w:rPr>
      </w:r>
    </w:p>
    <w:p w:rsidR="00000000" w:rsidDel="00000000" w:rsidP="00000000" w:rsidRDefault="00000000" w:rsidRPr="00000000" w14:paraId="00001768">
      <w:pPr>
        <w:spacing w:after="280" w:before="280" w:lineRule="auto"/>
        <w:jc w:val="both"/>
        <w:rPr/>
      </w:pPr>
      <w:r w:rsidDel="00000000" w:rsidR="00000000" w:rsidRPr="00000000">
        <w:rPr>
          <w:rtl w:val="0"/>
        </w:rPr>
        <w:t xml:space="preserve">Business Wire, 2023. Dr. Rangan Chatterjee joins Levels as advisor. </w:t>
      </w:r>
      <w:r w:rsidDel="00000000" w:rsidR="00000000" w:rsidRPr="00000000">
        <w:rPr>
          <w:i w:val="1"/>
          <w:rtl w:val="0"/>
        </w:rPr>
        <w:t xml:space="preserve">Business Wire</w:t>
      </w:r>
      <w:r w:rsidDel="00000000" w:rsidR="00000000" w:rsidRPr="00000000">
        <w:rPr>
          <w:rtl w:val="0"/>
        </w:rPr>
        <w:t xml:space="preserve">. [online] Available at: </w:t>
      </w:r>
      <w:hyperlink r:id="rId54">
        <w:r w:rsidDel="00000000" w:rsidR="00000000" w:rsidRPr="00000000">
          <w:rPr>
            <w:color w:val="0000ff"/>
            <w:u w:val="single"/>
            <w:rtl w:val="0"/>
          </w:rPr>
          <w:t xml:space="preserve">https://www.businesswire.com/news/home/20230221005805/en/Dr.-Rangan-Chatterjee-Joins-Levels-as-Advisor</w:t>
        </w:r>
      </w:hyperlink>
      <w:r w:rsidDel="00000000" w:rsidR="00000000" w:rsidRPr="00000000">
        <w:rPr>
          <w:rtl w:val="0"/>
        </w:rPr>
        <w:t xml:space="preserve"> [Accessed 18 May 2025].</w:t>
      </w:r>
    </w:p>
    <w:p w:rsidR="00000000" w:rsidDel="00000000" w:rsidP="00000000" w:rsidRDefault="00000000" w:rsidRPr="00000000" w14:paraId="00001769">
      <w:pPr>
        <w:spacing w:after="280" w:before="280" w:lineRule="auto"/>
        <w:jc w:val="both"/>
        <w:rPr/>
      </w:pPr>
      <w:r w:rsidDel="00000000" w:rsidR="00000000" w:rsidRPr="00000000">
        <w:rPr>
          <w:rtl w:val="0"/>
        </w:rPr>
        <w:t xml:space="preserve">Cafasso, J., 2023. What is red light therapy and how does it work? </w:t>
      </w:r>
      <w:r w:rsidDel="00000000" w:rsidR="00000000" w:rsidRPr="00000000">
        <w:rPr>
          <w:i w:val="1"/>
          <w:rtl w:val="0"/>
        </w:rPr>
        <w:t xml:space="preserve">Healthline</w:t>
      </w:r>
      <w:r w:rsidDel="00000000" w:rsidR="00000000" w:rsidRPr="00000000">
        <w:rPr>
          <w:rtl w:val="0"/>
        </w:rPr>
        <w:t xml:space="preserve">. [online] 14 December. Available at: </w:t>
      </w:r>
      <w:hyperlink r:id="rId55">
        <w:r w:rsidDel="00000000" w:rsidR="00000000" w:rsidRPr="00000000">
          <w:rPr>
            <w:color w:val="0000ff"/>
            <w:u w:val="single"/>
            <w:rtl w:val="0"/>
          </w:rPr>
          <w:t xml:space="preserve">https://www.healthline.com/health/red-light-therapy</w:t>
        </w:r>
      </w:hyperlink>
      <w:r w:rsidDel="00000000" w:rsidR="00000000" w:rsidRPr="00000000">
        <w:rPr>
          <w:rtl w:val="0"/>
        </w:rPr>
        <w:t xml:space="preserve"> [Accessed 18 May 2025].</w:t>
      </w:r>
    </w:p>
    <w:p w:rsidR="00000000" w:rsidDel="00000000" w:rsidP="00000000" w:rsidRDefault="00000000" w:rsidRPr="00000000" w14:paraId="0000176A">
      <w:pPr>
        <w:spacing w:after="280" w:before="280" w:lineRule="auto"/>
        <w:jc w:val="both"/>
        <w:rPr/>
      </w:pPr>
      <w:r w:rsidDel="00000000" w:rsidR="00000000" w:rsidRPr="00000000">
        <w:rPr>
          <w:rtl w:val="0"/>
        </w:rPr>
        <w:t xml:space="preserve">Camilleri, M.A., 2024. Factors affecting performance expectancy and intentions to use ChatGPT: Using SmartPLS to advance an information technology acceptance framework. </w:t>
      </w:r>
      <w:r w:rsidDel="00000000" w:rsidR="00000000" w:rsidRPr="00000000">
        <w:rPr>
          <w:i w:val="1"/>
          <w:rtl w:val="0"/>
        </w:rPr>
        <w:t xml:space="preserve">Technological Forecasting and Social Change</w:t>
      </w:r>
      <w:r w:rsidDel="00000000" w:rsidR="00000000" w:rsidRPr="00000000">
        <w:rPr>
          <w:rtl w:val="0"/>
        </w:rPr>
        <w:t xml:space="preserve">, 201, 123247. </w:t>
      </w:r>
      <w:hyperlink r:id="rId56">
        <w:r w:rsidDel="00000000" w:rsidR="00000000" w:rsidRPr="00000000">
          <w:rPr>
            <w:color w:val="0000ff"/>
            <w:u w:val="single"/>
            <w:rtl w:val="0"/>
          </w:rPr>
          <w:t xml:space="preserve">https://doi.org/10.1016/j.techfore.2024.123247</w:t>
        </w:r>
      </w:hyperlink>
      <w:r w:rsidDel="00000000" w:rsidR="00000000" w:rsidRPr="00000000">
        <w:rPr>
          <w:rtl w:val="0"/>
        </w:rPr>
      </w:r>
    </w:p>
    <w:p w:rsidR="00000000" w:rsidDel="00000000" w:rsidP="00000000" w:rsidRDefault="00000000" w:rsidRPr="00000000" w14:paraId="0000176B">
      <w:pPr>
        <w:spacing w:after="280" w:before="280" w:lineRule="auto"/>
        <w:jc w:val="both"/>
        <w:rPr/>
      </w:pPr>
      <w:r w:rsidDel="00000000" w:rsidR="00000000" w:rsidRPr="00000000">
        <w:rPr>
          <w:rtl w:val="0"/>
        </w:rPr>
        <w:t xml:space="preserve">Canali, S., Schiaffonati, V. and Aliverti, A., 2022. Challenges and recommendations for wearable devices in digital health: Data quality, interoperability, health equity, fairness. </w:t>
      </w:r>
      <w:r w:rsidDel="00000000" w:rsidR="00000000" w:rsidRPr="00000000">
        <w:rPr>
          <w:i w:val="1"/>
          <w:rtl w:val="0"/>
        </w:rPr>
        <w:t xml:space="preserve">PLOS Digital Health</w:t>
      </w:r>
      <w:r w:rsidDel="00000000" w:rsidR="00000000" w:rsidRPr="00000000">
        <w:rPr>
          <w:rtl w:val="0"/>
        </w:rPr>
        <w:t xml:space="preserve">, 1(10), e0000104. </w:t>
      </w:r>
      <w:hyperlink r:id="rId57">
        <w:r w:rsidDel="00000000" w:rsidR="00000000" w:rsidRPr="00000000">
          <w:rPr>
            <w:color w:val="0000ff"/>
            <w:u w:val="single"/>
            <w:rtl w:val="0"/>
          </w:rPr>
          <w:t xml:space="preserve">https://doi.org/10.1371/journal.pdig.0000104</w:t>
        </w:r>
      </w:hyperlink>
      <w:r w:rsidDel="00000000" w:rsidR="00000000" w:rsidRPr="00000000">
        <w:rPr>
          <w:rtl w:val="0"/>
        </w:rPr>
      </w:r>
    </w:p>
    <w:p w:rsidR="00000000" w:rsidDel="00000000" w:rsidP="00000000" w:rsidRDefault="00000000" w:rsidRPr="00000000" w14:paraId="0000176C">
      <w:pPr>
        <w:spacing w:after="280" w:before="280" w:lineRule="auto"/>
        <w:jc w:val="both"/>
        <w:rPr/>
      </w:pPr>
      <w:r w:rsidDel="00000000" w:rsidR="00000000" w:rsidRPr="00000000">
        <w:rPr>
          <w:rtl w:val="0"/>
        </w:rPr>
        <w:t xml:space="preserve">Cao, M., Zhang, Q. and Seydel, J., 2005. B2C e‐commerce web site quality: An empirical examination. </w:t>
      </w:r>
      <w:r w:rsidDel="00000000" w:rsidR="00000000" w:rsidRPr="00000000">
        <w:rPr>
          <w:i w:val="1"/>
          <w:rtl w:val="0"/>
        </w:rPr>
        <w:t xml:space="preserve">Industrial Management &amp; Data Systems</w:t>
      </w:r>
      <w:r w:rsidDel="00000000" w:rsidR="00000000" w:rsidRPr="00000000">
        <w:rPr>
          <w:rtl w:val="0"/>
        </w:rPr>
        <w:t xml:space="preserve">, 105(5), pp.645–661. </w:t>
      </w:r>
      <w:hyperlink r:id="rId58">
        <w:r w:rsidDel="00000000" w:rsidR="00000000" w:rsidRPr="00000000">
          <w:rPr>
            <w:color w:val="0000ff"/>
            <w:u w:val="single"/>
            <w:rtl w:val="0"/>
          </w:rPr>
          <w:t xml:space="preserve">https://doi.org/10.1108/02635570510600000</w:t>
        </w:r>
      </w:hyperlink>
      <w:r w:rsidDel="00000000" w:rsidR="00000000" w:rsidRPr="00000000">
        <w:rPr>
          <w:rtl w:val="0"/>
        </w:rPr>
      </w:r>
    </w:p>
    <w:p w:rsidR="00000000" w:rsidDel="00000000" w:rsidP="00000000" w:rsidRDefault="00000000" w:rsidRPr="00000000" w14:paraId="0000176D">
      <w:pPr>
        <w:spacing w:after="280" w:before="280" w:lineRule="auto"/>
        <w:jc w:val="both"/>
        <w:rPr/>
      </w:pPr>
      <w:r w:rsidDel="00000000" w:rsidR="00000000" w:rsidRPr="00000000">
        <w:rPr>
          <w:rtl w:val="0"/>
        </w:rPr>
        <w:t xml:space="preserve">Catanese, L., 2024. Hyperbaric oxygen therapy: Evidence-based uses and unproven claims. </w:t>
      </w:r>
      <w:r w:rsidDel="00000000" w:rsidR="00000000" w:rsidRPr="00000000">
        <w:rPr>
          <w:i w:val="1"/>
          <w:rtl w:val="0"/>
        </w:rPr>
        <w:t xml:space="preserve">Harvard Health</w:t>
      </w:r>
      <w:r w:rsidDel="00000000" w:rsidR="00000000" w:rsidRPr="00000000">
        <w:rPr>
          <w:rtl w:val="0"/>
        </w:rPr>
        <w:t xml:space="preserve">. [online] 9 December. Available at: </w:t>
      </w:r>
      <w:hyperlink r:id="rId59">
        <w:r w:rsidDel="00000000" w:rsidR="00000000" w:rsidRPr="00000000">
          <w:rPr>
            <w:color w:val="0000ff"/>
            <w:u w:val="single"/>
            <w:rtl w:val="0"/>
          </w:rPr>
          <w:t xml:space="preserve">https://www.health.harvard.edu/staying-healthy/hyperbaric-oxygen-therapy-evidence-based-uses-and-unproven-claims</w:t>
        </w:r>
      </w:hyperlink>
      <w:r w:rsidDel="00000000" w:rsidR="00000000" w:rsidRPr="00000000">
        <w:rPr>
          <w:rtl w:val="0"/>
        </w:rPr>
        <w:t xml:space="preserve"> [Accessed 18 May 2025].</w:t>
      </w:r>
    </w:p>
    <w:p w:rsidR="00000000" w:rsidDel="00000000" w:rsidP="00000000" w:rsidRDefault="00000000" w:rsidRPr="00000000" w14:paraId="0000176E">
      <w:pPr>
        <w:spacing w:after="280" w:before="280" w:lineRule="auto"/>
        <w:jc w:val="both"/>
        <w:rPr/>
      </w:pPr>
      <w:r w:rsidDel="00000000" w:rsidR="00000000" w:rsidRPr="00000000">
        <w:rPr>
          <w:rtl w:val="0"/>
        </w:rPr>
        <w:t xml:space="preserve">Catapan, S.C., Sazon, H., Zheng, S., Gallegos-Rejas, V., Mendis, R., Santiago, P.H.R. and Kelly, J.T., 2025. A systematic review of consumers' and healthcare professionals' trust in digital healthcare. </w:t>
      </w:r>
      <w:r w:rsidDel="00000000" w:rsidR="00000000" w:rsidRPr="00000000">
        <w:rPr>
          <w:i w:val="1"/>
          <w:rtl w:val="0"/>
        </w:rPr>
        <w:t xml:space="preserve">NPJ Digital Medicine</w:t>
      </w:r>
      <w:r w:rsidDel="00000000" w:rsidR="00000000" w:rsidRPr="00000000">
        <w:rPr>
          <w:rtl w:val="0"/>
        </w:rPr>
        <w:t xml:space="preserve">, 8(1), 115. </w:t>
      </w:r>
      <w:hyperlink r:id="rId60">
        <w:r w:rsidDel="00000000" w:rsidR="00000000" w:rsidRPr="00000000">
          <w:rPr>
            <w:color w:val="0000ff"/>
            <w:u w:val="single"/>
            <w:rtl w:val="0"/>
          </w:rPr>
          <w:t xml:space="preserve">https://doi.org/10.1038/s41746-025-01510-8</w:t>
        </w:r>
      </w:hyperlink>
      <w:r w:rsidDel="00000000" w:rsidR="00000000" w:rsidRPr="00000000">
        <w:rPr>
          <w:rtl w:val="0"/>
        </w:rPr>
      </w:r>
    </w:p>
    <w:p w:rsidR="00000000" w:rsidDel="00000000" w:rsidP="00000000" w:rsidRDefault="00000000" w:rsidRPr="00000000" w14:paraId="0000176F">
      <w:pPr>
        <w:spacing w:after="280" w:before="280" w:lineRule="auto"/>
        <w:jc w:val="both"/>
        <w:rPr/>
      </w:pPr>
      <w:r w:rsidDel="00000000" w:rsidR="00000000" w:rsidRPr="00000000">
        <w:rPr>
          <w:rtl w:val="0"/>
        </w:rPr>
        <w:t xml:space="preserve">Centers for Disease Control and Prevention, 2024. Health Insurance Portability and Accountability Act of 1996 (HIPAA). </w:t>
      </w:r>
      <w:r w:rsidDel="00000000" w:rsidR="00000000" w:rsidRPr="00000000">
        <w:rPr>
          <w:i w:val="1"/>
          <w:rtl w:val="0"/>
        </w:rPr>
        <w:t xml:space="preserve">Public Health Law</w:t>
      </w:r>
      <w:r w:rsidDel="00000000" w:rsidR="00000000" w:rsidRPr="00000000">
        <w:rPr>
          <w:rtl w:val="0"/>
        </w:rPr>
        <w:t xml:space="preserve">. [online] 10 September. Available at: </w:t>
      </w:r>
      <w:hyperlink r:id="rId61">
        <w:r w:rsidDel="00000000" w:rsidR="00000000" w:rsidRPr="00000000">
          <w:rPr>
            <w:color w:val="0000ff"/>
            <w:u w:val="single"/>
            <w:rtl w:val="0"/>
          </w:rPr>
          <w:t xml:space="preserve">https://www.cdc.gov/phlp/php/resources/health-insurance-portability-and-accountability-act-of-1996-hipaa.html</w:t>
        </w:r>
      </w:hyperlink>
      <w:r w:rsidDel="00000000" w:rsidR="00000000" w:rsidRPr="00000000">
        <w:rPr>
          <w:rtl w:val="0"/>
        </w:rPr>
        <w:t xml:space="preserve"> [Accessed 18 May 2025].</w:t>
      </w:r>
    </w:p>
    <w:p w:rsidR="00000000" w:rsidDel="00000000" w:rsidP="00000000" w:rsidRDefault="00000000" w:rsidRPr="00000000" w14:paraId="00001770">
      <w:pPr>
        <w:spacing w:after="280" w:before="280" w:lineRule="auto"/>
        <w:jc w:val="both"/>
        <w:rPr/>
      </w:pPr>
      <w:r w:rsidDel="00000000" w:rsidR="00000000" w:rsidRPr="00000000">
        <w:rPr>
          <w:rtl w:val="0"/>
        </w:rPr>
        <w:t xml:space="preserve">Centers for Disease Control and Prevention, National Center for Health Statistics, 2016. </w:t>
      </w:r>
      <w:r w:rsidDel="00000000" w:rsidR="00000000" w:rsidRPr="00000000">
        <w:rPr>
          <w:i w:val="1"/>
          <w:rtl w:val="0"/>
        </w:rPr>
        <w:t xml:space="preserve">Health, United States, 2015</w:t>
      </w:r>
      <w:r w:rsidDel="00000000" w:rsidR="00000000" w:rsidRPr="00000000">
        <w:rPr>
          <w:rtl w:val="0"/>
        </w:rPr>
        <w:t xml:space="preserve">. [pdf] Available at: </w:t>
      </w:r>
      <w:hyperlink r:id="rId62">
        <w:r w:rsidDel="00000000" w:rsidR="00000000" w:rsidRPr="00000000">
          <w:rPr>
            <w:color w:val="0000ff"/>
            <w:u w:val="single"/>
            <w:rtl w:val="0"/>
          </w:rPr>
          <w:t xml:space="preserve">http://www.cdc.gov/nchs/data/hus/hus15.pdf#058</w:t>
        </w:r>
      </w:hyperlink>
      <w:r w:rsidDel="00000000" w:rsidR="00000000" w:rsidRPr="00000000">
        <w:rPr>
          <w:rtl w:val="0"/>
        </w:rPr>
        <w:t xml:space="preserve"> [Accessed 18 May 2025].</w:t>
      </w:r>
    </w:p>
    <w:p w:rsidR="00000000" w:rsidDel="00000000" w:rsidP="00000000" w:rsidRDefault="00000000" w:rsidRPr="00000000" w14:paraId="00001771">
      <w:pPr>
        <w:spacing w:after="280" w:before="280" w:lineRule="auto"/>
        <w:jc w:val="both"/>
        <w:rPr/>
      </w:pPr>
      <w:r w:rsidDel="00000000" w:rsidR="00000000" w:rsidRPr="00000000">
        <w:rPr>
          <w:rtl w:val="0"/>
        </w:rPr>
        <w:t xml:space="preserve">Chakraborty, I., Ilavarasan, P.V. and Edirippulige, S., 2023. Critical success factors of startups in the e-health domain. </w:t>
      </w:r>
      <w:r w:rsidDel="00000000" w:rsidR="00000000" w:rsidRPr="00000000">
        <w:rPr>
          <w:i w:val="1"/>
          <w:rtl w:val="0"/>
        </w:rPr>
        <w:t xml:space="preserve">Health Policy and Technology</w:t>
      </w:r>
      <w:r w:rsidDel="00000000" w:rsidR="00000000" w:rsidRPr="00000000">
        <w:rPr>
          <w:rtl w:val="0"/>
        </w:rPr>
        <w:t xml:space="preserve">, 12(3), 100773. </w:t>
      </w:r>
      <w:hyperlink r:id="rId63">
        <w:r w:rsidDel="00000000" w:rsidR="00000000" w:rsidRPr="00000000">
          <w:rPr>
            <w:color w:val="0000ff"/>
            <w:u w:val="single"/>
            <w:rtl w:val="0"/>
          </w:rPr>
          <w:t xml:space="preserve">https://doi.org/10.1016/j.hlpt.2023.100773</w:t>
        </w:r>
      </w:hyperlink>
      <w:r w:rsidDel="00000000" w:rsidR="00000000" w:rsidRPr="00000000">
        <w:rPr>
          <w:rtl w:val="0"/>
        </w:rPr>
      </w:r>
    </w:p>
    <w:p w:rsidR="00000000" w:rsidDel="00000000" w:rsidP="00000000" w:rsidRDefault="00000000" w:rsidRPr="00000000" w14:paraId="00001772">
      <w:pPr>
        <w:spacing w:after="280" w:before="280" w:lineRule="auto"/>
        <w:jc w:val="both"/>
        <w:rPr/>
      </w:pPr>
      <w:r w:rsidDel="00000000" w:rsidR="00000000" w:rsidRPr="00000000">
        <w:rPr>
          <w:rtl w:val="0"/>
        </w:rPr>
        <w:t xml:space="preserve">Chilingaryan, M., 2025. WHOOP marketing strategy: The path to rapid growth. </w:t>
      </w:r>
      <w:r w:rsidDel="00000000" w:rsidR="00000000" w:rsidRPr="00000000">
        <w:rPr>
          <w:i w:val="1"/>
          <w:rtl w:val="0"/>
        </w:rPr>
        <w:t xml:space="preserve">NoGoodTM: Growth Marketing Agency</w:t>
      </w:r>
      <w:r w:rsidDel="00000000" w:rsidR="00000000" w:rsidRPr="00000000">
        <w:rPr>
          <w:rtl w:val="0"/>
        </w:rPr>
        <w:t xml:space="preserve">. [online] 3 April. Available at: </w:t>
      </w:r>
      <w:hyperlink r:id="rId64">
        <w:r w:rsidDel="00000000" w:rsidR="00000000" w:rsidRPr="00000000">
          <w:rPr>
            <w:color w:val="0000ff"/>
            <w:u w:val="single"/>
            <w:rtl w:val="0"/>
          </w:rPr>
          <w:t xml:space="preserve">https://nogood.io/2025/01/13/whoop-marketing-strategy/</w:t>
        </w:r>
      </w:hyperlink>
      <w:r w:rsidDel="00000000" w:rsidR="00000000" w:rsidRPr="00000000">
        <w:rPr>
          <w:rtl w:val="0"/>
        </w:rPr>
        <w:t xml:space="preserve"> [Accessed 18 May 2025].</w:t>
      </w:r>
    </w:p>
    <w:p w:rsidR="00000000" w:rsidDel="00000000" w:rsidP="00000000" w:rsidRDefault="00000000" w:rsidRPr="00000000" w14:paraId="00001773">
      <w:pPr>
        <w:spacing w:after="280" w:before="280" w:lineRule="auto"/>
        <w:jc w:val="both"/>
        <w:rPr/>
      </w:pPr>
      <w:r w:rsidDel="00000000" w:rsidR="00000000" w:rsidRPr="00000000">
        <w:rPr>
          <w:rtl w:val="0"/>
        </w:rPr>
        <w:t xml:space="preserve">Cohen, A.B., Mathews, S.C., Dorsey, E.R., Bates, D.W. and Safavi, K., 2020. Direct-to-consumer digital health. </w:t>
      </w:r>
      <w:r w:rsidDel="00000000" w:rsidR="00000000" w:rsidRPr="00000000">
        <w:rPr>
          <w:i w:val="1"/>
          <w:rtl w:val="0"/>
        </w:rPr>
        <w:t xml:space="preserve">The Lancet Digital Health</w:t>
      </w:r>
      <w:r w:rsidDel="00000000" w:rsidR="00000000" w:rsidRPr="00000000">
        <w:rPr>
          <w:rtl w:val="0"/>
        </w:rPr>
        <w:t xml:space="preserve">, 2(4), pp.e163–e165. </w:t>
      </w:r>
      <w:hyperlink r:id="rId65">
        <w:r w:rsidDel="00000000" w:rsidR="00000000" w:rsidRPr="00000000">
          <w:rPr>
            <w:color w:val="0000ff"/>
            <w:u w:val="single"/>
            <w:rtl w:val="0"/>
          </w:rPr>
          <w:t xml:space="preserve">https://doi.org/10.1016/S2589-7500(20)30057-1</w:t>
        </w:r>
      </w:hyperlink>
      <w:r w:rsidDel="00000000" w:rsidR="00000000" w:rsidRPr="00000000">
        <w:rPr>
          <w:rtl w:val="0"/>
        </w:rPr>
      </w:r>
    </w:p>
    <w:p w:rsidR="00000000" w:rsidDel="00000000" w:rsidP="00000000" w:rsidRDefault="00000000" w:rsidRPr="00000000" w14:paraId="00001774">
      <w:pPr>
        <w:spacing w:after="280" w:before="280" w:lineRule="auto"/>
        <w:jc w:val="both"/>
        <w:rPr/>
      </w:pPr>
      <w:r w:rsidDel="00000000" w:rsidR="00000000" w:rsidRPr="00000000">
        <w:rPr>
          <w:rtl w:val="0"/>
        </w:rPr>
        <w:t xml:space="preserve">Comstock, J., 2018. Apple unveils Watch Series 4 with FDA-approved ECG. </w:t>
      </w:r>
      <w:r w:rsidDel="00000000" w:rsidR="00000000" w:rsidRPr="00000000">
        <w:rPr>
          <w:i w:val="1"/>
          <w:rtl w:val="0"/>
        </w:rPr>
        <w:t xml:space="preserve">Healthcare IT News</w:t>
      </w:r>
      <w:r w:rsidDel="00000000" w:rsidR="00000000" w:rsidRPr="00000000">
        <w:rPr>
          <w:rtl w:val="0"/>
        </w:rPr>
        <w:t xml:space="preserve">. [online] 13 September. Available at: </w:t>
      </w:r>
      <w:hyperlink r:id="rId66">
        <w:r w:rsidDel="00000000" w:rsidR="00000000" w:rsidRPr="00000000">
          <w:rPr>
            <w:color w:val="0000ff"/>
            <w:u w:val="single"/>
            <w:rtl w:val="0"/>
          </w:rPr>
          <w:t xml:space="preserve">https://www.healthcareitnews.com/news/apple-unveils-watch-series-4-fda-approved-ecg</w:t>
        </w:r>
      </w:hyperlink>
      <w:r w:rsidDel="00000000" w:rsidR="00000000" w:rsidRPr="00000000">
        <w:rPr>
          <w:rtl w:val="0"/>
        </w:rPr>
        <w:t xml:space="preserve"> [Accessed 18 May 2025].</w:t>
      </w:r>
    </w:p>
    <w:p w:rsidR="00000000" w:rsidDel="00000000" w:rsidP="00000000" w:rsidRDefault="00000000" w:rsidRPr="00000000" w14:paraId="00001775">
      <w:pPr>
        <w:spacing w:after="280" w:before="280" w:lineRule="auto"/>
        <w:jc w:val="both"/>
        <w:rPr/>
      </w:pPr>
      <w:r w:rsidDel="00000000" w:rsidR="00000000" w:rsidRPr="00000000">
        <w:rPr>
          <w:rtl w:val="0"/>
        </w:rPr>
        <w:t xml:space="preserve">Crobar, K., 2021. General wellness v. medical device considerations. </w:t>
      </w:r>
      <w:r w:rsidDel="00000000" w:rsidR="00000000" w:rsidRPr="00000000">
        <w:rPr>
          <w:i w:val="1"/>
          <w:rtl w:val="0"/>
        </w:rPr>
        <w:t xml:space="preserve">New York State Science &amp; Technology Law Center</w:t>
      </w:r>
      <w:r w:rsidDel="00000000" w:rsidR="00000000" w:rsidRPr="00000000">
        <w:rPr>
          <w:rtl w:val="0"/>
        </w:rPr>
        <w:t xml:space="preserve">. [online] 9 April. Available at: </w:t>
      </w:r>
      <w:hyperlink r:id="rId67">
        <w:r w:rsidDel="00000000" w:rsidR="00000000" w:rsidRPr="00000000">
          <w:rPr>
            <w:color w:val="0000ff"/>
            <w:u w:val="single"/>
            <w:rtl w:val="0"/>
          </w:rPr>
          <w:t xml:space="preserve">https://nysstlc.syr.edu/general-wellness-v-medical-device-considerations/</w:t>
        </w:r>
      </w:hyperlink>
      <w:r w:rsidDel="00000000" w:rsidR="00000000" w:rsidRPr="00000000">
        <w:rPr>
          <w:rtl w:val="0"/>
        </w:rPr>
        <w:t xml:space="preserve"> [Accessed 18 May 2025].</w:t>
      </w:r>
    </w:p>
    <w:p w:rsidR="00000000" w:rsidDel="00000000" w:rsidP="00000000" w:rsidRDefault="00000000" w:rsidRPr="00000000" w14:paraId="00001776">
      <w:pPr>
        <w:spacing w:after="280" w:before="280" w:lineRule="auto"/>
        <w:jc w:val="both"/>
        <w:rPr/>
      </w:pPr>
      <w:r w:rsidDel="00000000" w:rsidR="00000000" w:rsidRPr="00000000">
        <w:rPr>
          <w:rtl w:val="0"/>
        </w:rPr>
        <w:t xml:space="preserve">Davenport, A., 2015. Portable and wearable dialysis devices for the treatment of patients with end-stage kidney failure: Wishful thinking or just over the horizon? </w:t>
      </w:r>
      <w:r w:rsidDel="00000000" w:rsidR="00000000" w:rsidRPr="00000000">
        <w:rPr>
          <w:i w:val="1"/>
          <w:rtl w:val="0"/>
        </w:rPr>
        <w:t xml:space="preserve">Pediatric Nephrology</w:t>
      </w:r>
      <w:r w:rsidDel="00000000" w:rsidR="00000000" w:rsidRPr="00000000">
        <w:rPr>
          <w:rtl w:val="0"/>
        </w:rPr>
        <w:t xml:space="preserve">, 30(12), pp.2053–2060. </w:t>
      </w:r>
      <w:hyperlink r:id="rId68">
        <w:r w:rsidDel="00000000" w:rsidR="00000000" w:rsidRPr="00000000">
          <w:rPr>
            <w:color w:val="0000ff"/>
            <w:u w:val="single"/>
            <w:rtl w:val="0"/>
          </w:rPr>
          <w:t xml:space="preserve">https://doi.org/10.1007/s00467-014-2968-3</w:t>
        </w:r>
      </w:hyperlink>
      <w:r w:rsidDel="00000000" w:rsidR="00000000" w:rsidRPr="00000000">
        <w:rPr>
          <w:rtl w:val="0"/>
        </w:rPr>
      </w:r>
    </w:p>
    <w:p w:rsidR="00000000" w:rsidDel="00000000" w:rsidP="00000000" w:rsidRDefault="00000000" w:rsidRPr="00000000" w14:paraId="00001777">
      <w:pPr>
        <w:spacing w:after="280" w:before="280" w:lineRule="auto"/>
        <w:jc w:val="both"/>
        <w:rPr/>
      </w:pPr>
      <w:r w:rsidDel="00000000" w:rsidR="00000000" w:rsidRPr="00000000">
        <w:rPr>
          <w:rtl w:val="0"/>
        </w:rPr>
        <w:t xml:space="preserve">Davis, F.D. and Venkatesh, V., 1996. A critical assessment of potential measurement biases in the technology acceptance model: Three experiments. </w:t>
      </w:r>
      <w:r w:rsidDel="00000000" w:rsidR="00000000" w:rsidRPr="00000000">
        <w:rPr>
          <w:i w:val="1"/>
          <w:rtl w:val="0"/>
        </w:rPr>
        <w:t xml:space="preserve">International Journal of Human-Computer Studies</w:t>
      </w:r>
      <w:r w:rsidDel="00000000" w:rsidR="00000000" w:rsidRPr="00000000">
        <w:rPr>
          <w:rtl w:val="0"/>
        </w:rPr>
        <w:t xml:space="preserve">, 45(1), pp.19–45. </w:t>
      </w:r>
      <w:hyperlink r:id="rId69">
        <w:r w:rsidDel="00000000" w:rsidR="00000000" w:rsidRPr="00000000">
          <w:rPr>
            <w:color w:val="0000ff"/>
            <w:u w:val="single"/>
            <w:rtl w:val="0"/>
          </w:rPr>
          <w:t xml:space="preserve">https://doi.org/10.1006/ijhc.1996.0040</w:t>
        </w:r>
      </w:hyperlink>
      <w:r w:rsidDel="00000000" w:rsidR="00000000" w:rsidRPr="00000000">
        <w:rPr>
          <w:rtl w:val="0"/>
        </w:rPr>
      </w:r>
    </w:p>
    <w:p w:rsidR="00000000" w:rsidDel="00000000" w:rsidP="00000000" w:rsidRDefault="00000000" w:rsidRPr="00000000" w14:paraId="00001778">
      <w:pPr>
        <w:spacing w:after="280" w:before="280" w:lineRule="auto"/>
        <w:jc w:val="both"/>
        <w:rPr/>
      </w:pPr>
      <w:r w:rsidDel="00000000" w:rsidR="00000000" w:rsidRPr="00000000">
        <w:rPr>
          <w:rtl w:val="0"/>
        </w:rPr>
        <w:t xml:space="preserve">Davis, F.D., 1986. </w:t>
      </w:r>
      <w:r w:rsidDel="00000000" w:rsidR="00000000" w:rsidRPr="00000000">
        <w:rPr>
          <w:i w:val="1"/>
          <w:rtl w:val="0"/>
        </w:rPr>
        <w:t xml:space="preserve">A technology acceptance model for empirically testing new end-user information systems: Theory and results</w:t>
      </w:r>
      <w:r w:rsidDel="00000000" w:rsidR="00000000" w:rsidRPr="00000000">
        <w:rPr>
          <w:rtl w:val="0"/>
        </w:rPr>
        <w:t xml:space="preserve"> (Doctoral dissertation). MIT Sloan School of Management, Cambridge, MA.</w:t>
      </w:r>
    </w:p>
    <w:p w:rsidR="00000000" w:rsidDel="00000000" w:rsidP="00000000" w:rsidRDefault="00000000" w:rsidRPr="00000000" w14:paraId="00001779">
      <w:pPr>
        <w:spacing w:after="280" w:before="280" w:lineRule="auto"/>
        <w:jc w:val="both"/>
        <w:rPr/>
      </w:pPr>
      <w:r w:rsidDel="00000000" w:rsidR="00000000" w:rsidRPr="00000000">
        <w:rPr>
          <w:rtl w:val="0"/>
        </w:rPr>
        <w:t xml:space="preserve">Davis, F.D., 1989. Perceived usefulness, perceived ease of use, and user acceptance of information technology. </w:t>
      </w:r>
      <w:r w:rsidDel="00000000" w:rsidR="00000000" w:rsidRPr="00000000">
        <w:rPr>
          <w:i w:val="1"/>
          <w:rtl w:val="0"/>
        </w:rPr>
        <w:t xml:space="preserve">MIS Quarterly</w:t>
      </w:r>
      <w:r w:rsidDel="00000000" w:rsidR="00000000" w:rsidRPr="00000000">
        <w:rPr>
          <w:rtl w:val="0"/>
        </w:rPr>
        <w:t xml:space="preserve">, 13(3), pp.319-339.</w:t>
      </w:r>
    </w:p>
    <w:p w:rsidR="00000000" w:rsidDel="00000000" w:rsidP="00000000" w:rsidRDefault="00000000" w:rsidRPr="00000000" w14:paraId="0000177A">
      <w:pPr>
        <w:spacing w:after="280" w:before="280" w:lineRule="auto"/>
        <w:jc w:val="both"/>
        <w:rPr/>
      </w:pPr>
      <w:r w:rsidDel="00000000" w:rsidR="00000000" w:rsidRPr="00000000">
        <w:rPr>
          <w:rtl w:val="0"/>
        </w:rPr>
        <w:t xml:space="preserve">Davis, F.D., 1989. Perceived usefulness, perceived ease of use, and user acceptance. </w:t>
      </w:r>
      <w:r w:rsidDel="00000000" w:rsidR="00000000" w:rsidRPr="00000000">
        <w:rPr>
          <w:i w:val="1"/>
          <w:rtl w:val="0"/>
        </w:rPr>
        <w:t xml:space="preserve">MIS Quarterly</w:t>
      </w:r>
      <w:r w:rsidDel="00000000" w:rsidR="00000000" w:rsidRPr="00000000">
        <w:rPr>
          <w:rtl w:val="0"/>
        </w:rPr>
        <w:t xml:space="preserve">, 13(3), pp.319–340. </w:t>
      </w:r>
      <w:hyperlink r:id="rId70">
        <w:r w:rsidDel="00000000" w:rsidR="00000000" w:rsidRPr="00000000">
          <w:rPr>
            <w:color w:val="0000ff"/>
            <w:u w:val="single"/>
            <w:rtl w:val="0"/>
          </w:rPr>
          <w:t xml:space="preserve">https://doi.org/10.2307/249008</w:t>
        </w:r>
      </w:hyperlink>
      <w:r w:rsidDel="00000000" w:rsidR="00000000" w:rsidRPr="00000000">
        <w:rPr>
          <w:rtl w:val="0"/>
        </w:rPr>
      </w:r>
    </w:p>
    <w:p w:rsidR="00000000" w:rsidDel="00000000" w:rsidP="00000000" w:rsidRDefault="00000000" w:rsidRPr="00000000" w14:paraId="0000177B">
      <w:pPr>
        <w:spacing w:after="280" w:before="280" w:lineRule="auto"/>
        <w:jc w:val="both"/>
        <w:rPr/>
      </w:pPr>
      <w:r w:rsidDel="00000000" w:rsidR="00000000" w:rsidRPr="00000000">
        <w:rPr>
          <w:rtl w:val="0"/>
        </w:rPr>
        <w:t xml:space="preserve">Davis, F.D., 1993. User acceptance of information technology: System characteristics, user perceptions and behavioral impacts. </w:t>
      </w:r>
      <w:r w:rsidDel="00000000" w:rsidR="00000000" w:rsidRPr="00000000">
        <w:rPr>
          <w:i w:val="1"/>
          <w:rtl w:val="0"/>
        </w:rPr>
        <w:t xml:space="preserve">International Journal of Man-Machine Studies</w:t>
      </w:r>
      <w:r w:rsidDel="00000000" w:rsidR="00000000" w:rsidRPr="00000000">
        <w:rPr>
          <w:rtl w:val="0"/>
        </w:rPr>
        <w:t xml:space="preserve">, 38(3), pp.475–487. </w:t>
      </w:r>
      <w:hyperlink r:id="rId71">
        <w:r w:rsidDel="00000000" w:rsidR="00000000" w:rsidRPr="00000000">
          <w:rPr>
            <w:color w:val="0000ff"/>
            <w:u w:val="single"/>
            <w:rtl w:val="0"/>
          </w:rPr>
          <w:t xml:space="preserve">https://doi.org/10.1006/imms.1993.1022</w:t>
        </w:r>
      </w:hyperlink>
      <w:r w:rsidDel="00000000" w:rsidR="00000000" w:rsidRPr="00000000">
        <w:rPr>
          <w:rtl w:val="0"/>
        </w:rPr>
      </w:r>
    </w:p>
    <w:p w:rsidR="00000000" w:rsidDel="00000000" w:rsidP="00000000" w:rsidRDefault="00000000" w:rsidRPr="00000000" w14:paraId="0000177C">
      <w:pPr>
        <w:spacing w:after="280" w:before="280" w:lineRule="auto"/>
        <w:jc w:val="both"/>
        <w:rPr/>
      </w:pPr>
      <w:r w:rsidDel="00000000" w:rsidR="00000000" w:rsidRPr="00000000">
        <w:rPr>
          <w:rtl w:val="0"/>
        </w:rPr>
        <w:t xml:space="preserve">Davis, F.D., Bagozzi, R.P. and Warshaw, P.R., 1989. User acceptance of computer technology: A comparison of two theoretical models. </w:t>
      </w:r>
      <w:r w:rsidDel="00000000" w:rsidR="00000000" w:rsidRPr="00000000">
        <w:rPr>
          <w:i w:val="1"/>
          <w:rtl w:val="0"/>
        </w:rPr>
        <w:t xml:space="preserve">Management Science</w:t>
      </w:r>
      <w:r w:rsidDel="00000000" w:rsidR="00000000" w:rsidRPr="00000000">
        <w:rPr>
          <w:rtl w:val="0"/>
        </w:rPr>
        <w:t xml:space="preserve">, 35(8), pp.982–1003. </w:t>
      </w:r>
      <w:hyperlink r:id="rId72">
        <w:r w:rsidDel="00000000" w:rsidR="00000000" w:rsidRPr="00000000">
          <w:rPr>
            <w:color w:val="0000ff"/>
            <w:u w:val="single"/>
            <w:rtl w:val="0"/>
          </w:rPr>
          <w:t xml:space="preserve">https://doi.org/10.1287/mnsc.35.8.982</w:t>
        </w:r>
      </w:hyperlink>
      <w:r w:rsidDel="00000000" w:rsidR="00000000" w:rsidRPr="00000000">
        <w:rPr>
          <w:rtl w:val="0"/>
        </w:rPr>
      </w:r>
    </w:p>
    <w:p w:rsidR="00000000" w:rsidDel="00000000" w:rsidP="00000000" w:rsidRDefault="00000000" w:rsidRPr="00000000" w14:paraId="0000177D">
      <w:pPr>
        <w:spacing w:after="280" w:before="280" w:lineRule="auto"/>
        <w:jc w:val="both"/>
        <w:rPr/>
      </w:pPr>
      <w:r w:rsidDel="00000000" w:rsidR="00000000" w:rsidRPr="00000000">
        <w:rPr>
          <w:rtl w:val="0"/>
        </w:rPr>
        <w:t xml:space="preserve">de Freitas, L.F. and Hamblin, M.R., 2016. Proposed mechanisms of photobiomodulation or low-level light therapy. </w:t>
      </w:r>
      <w:r w:rsidDel="00000000" w:rsidR="00000000" w:rsidRPr="00000000">
        <w:rPr>
          <w:i w:val="1"/>
          <w:rtl w:val="0"/>
        </w:rPr>
        <w:t xml:space="preserve">IEEE Journal of Selected Topics in Quantum Electronics</w:t>
      </w:r>
      <w:r w:rsidDel="00000000" w:rsidR="00000000" w:rsidRPr="00000000">
        <w:rPr>
          <w:rtl w:val="0"/>
        </w:rPr>
        <w:t xml:space="preserve">, 22(3), 7000417. </w:t>
      </w:r>
      <w:hyperlink r:id="rId73">
        <w:r w:rsidDel="00000000" w:rsidR="00000000" w:rsidRPr="00000000">
          <w:rPr>
            <w:color w:val="0000ff"/>
            <w:u w:val="single"/>
            <w:rtl w:val="0"/>
          </w:rPr>
          <w:t xml:space="preserve">https://doi.org/10.1109/JSTQE.2016.2561201</w:t>
        </w:r>
      </w:hyperlink>
      <w:r w:rsidDel="00000000" w:rsidR="00000000" w:rsidRPr="00000000">
        <w:rPr>
          <w:rtl w:val="0"/>
        </w:rPr>
      </w:r>
    </w:p>
    <w:p w:rsidR="00000000" w:rsidDel="00000000" w:rsidP="00000000" w:rsidRDefault="00000000" w:rsidRPr="00000000" w14:paraId="0000177E">
      <w:pPr>
        <w:spacing w:after="280" w:before="280" w:lineRule="auto"/>
        <w:jc w:val="both"/>
        <w:rPr/>
      </w:pPr>
      <w:r w:rsidDel="00000000" w:rsidR="00000000" w:rsidRPr="00000000">
        <w:rPr>
          <w:rtl w:val="0"/>
        </w:rPr>
        <w:t xml:space="preserve">de Vasconcelos Gomes, L.A., Oliveira, M.P.V., Facin, A.L.F., de Souza Nascimento, P.T. and Salerno, M.S., 2023. Technology entrepreneurship in healthcare: Challenges and opportunities for value creation. </w:t>
      </w:r>
      <w:r w:rsidDel="00000000" w:rsidR="00000000" w:rsidRPr="00000000">
        <w:rPr>
          <w:i w:val="1"/>
          <w:rtl w:val="0"/>
        </w:rPr>
        <w:t xml:space="preserve">Journal of Innovation &amp; Knowledge</w:t>
      </w:r>
      <w:r w:rsidDel="00000000" w:rsidR="00000000" w:rsidRPr="00000000">
        <w:rPr>
          <w:rtl w:val="0"/>
        </w:rPr>
        <w:t xml:space="preserve">, 8(1), 100016. </w:t>
      </w:r>
      <w:hyperlink r:id="rId74">
        <w:r w:rsidDel="00000000" w:rsidR="00000000" w:rsidRPr="00000000">
          <w:rPr>
            <w:color w:val="0000ff"/>
            <w:u w:val="single"/>
            <w:rtl w:val="0"/>
          </w:rPr>
          <w:t xml:space="preserve">https://doi.org/10.1016/j.jik.2023.100016</w:t>
        </w:r>
      </w:hyperlink>
      <w:r w:rsidDel="00000000" w:rsidR="00000000" w:rsidRPr="00000000">
        <w:rPr>
          <w:rtl w:val="0"/>
        </w:rPr>
      </w:r>
    </w:p>
    <w:p w:rsidR="00000000" w:rsidDel="00000000" w:rsidP="00000000" w:rsidRDefault="00000000" w:rsidRPr="00000000" w14:paraId="0000177F">
      <w:pPr>
        <w:spacing w:after="280" w:before="280" w:lineRule="auto"/>
        <w:jc w:val="both"/>
        <w:rPr/>
      </w:pPr>
      <w:r w:rsidDel="00000000" w:rsidR="00000000" w:rsidRPr="00000000">
        <w:rPr>
          <w:rtl w:val="0"/>
        </w:rPr>
        <w:t xml:space="preserve">DelveInsight, 2024. Evaluating the booming cryotherapy market and its future outlook. </w:t>
      </w:r>
      <w:r w:rsidDel="00000000" w:rsidR="00000000" w:rsidRPr="00000000">
        <w:rPr>
          <w:i w:val="1"/>
          <w:rtl w:val="0"/>
        </w:rPr>
        <w:t xml:space="preserve">DelveInsight Business Research</w:t>
      </w:r>
      <w:r w:rsidDel="00000000" w:rsidR="00000000" w:rsidRPr="00000000">
        <w:rPr>
          <w:rtl w:val="0"/>
        </w:rPr>
        <w:t xml:space="preserve">. [online] 5 January. Available at: </w:t>
      </w:r>
      <w:hyperlink r:id="rId75">
        <w:r w:rsidDel="00000000" w:rsidR="00000000" w:rsidRPr="00000000">
          <w:rPr>
            <w:color w:val="0000ff"/>
            <w:u w:val="single"/>
            <w:rtl w:val="0"/>
          </w:rPr>
          <w:t xml:space="preserve">https://www.delveinsight.com/blog/cryotherapy-applications-and-market-outlook</w:t>
        </w:r>
      </w:hyperlink>
      <w:r w:rsidDel="00000000" w:rsidR="00000000" w:rsidRPr="00000000">
        <w:rPr>
          <w:rtl w:val="0"/>
        </w:rPr>
        <w:t xml:space="preserve"> [Accessed 18 May 2025].</w:t>
      </w:r>
    </w:p>
    <w:p w:rsidR="00000000" w:rsidDel="00000000" w:rsidP="00000000" w:rsidRDefault="00000000" w:rsidRPr="00000000" w14:paraId="00001780">
      <w:pPr>
        <w:spacing w:after="280" w:before="280" w:lineRule="auto"/>
        <w:jc w:val="both"/>
        <w:rPr/>
      </w:pPr>
      <w:r w:rsidDel="00000000" w:rsidR="00000000" w:rsidRPr="00000000">
        <w:rPr>
          <w:rtl w:val="0"/>
        </w:rPr>
        <w:t xml:space="preserve">Dendrinos, K. and Spais, G., 2024. An investigation of selected UTAUT constructs and consumption values of Gen Z and Gen X for mobile banking services and behavioral intentions to facilitate the adoption of mobile apps. </w:t>
      </w:r>
      <w:r w:rsidDel="00000000" w:rsidR="00000000" w:rsidRPr="00000000">
        <w:rPr>
          <w:i w:val="1"/>
          <w:rtl w:val="0"/>
        </w:rPr>
        <w:t xml:space="preserve">Journal of Marketing Analytics</w:t>
      </w:r>
      <w:r w:rsidDel="00000000" w:rsidR="00000000" w:rsidRPr="00000000">
        <w:rPr>
          <w:rtl w:val="0"/>
        </w:rPr>
        <w:t xml:space="preserve">, 12, pp.492–522. </w:t>
      </w:r>
      <w:hyperlink r:id="rId76">
        <w:r w:rsidDel="00000000" w:rsidR="00000000" w:rsidRPr="00000000">
          <w:rPr>
            <w:color w:val="0000ff"/>
            <w:u w:val="single"/>
            <w:rtl w:val="0"/>
          </w:rPr>
          <w:t xml:space="preserve">https://doi.org/10.1057/s41270-023-00271-1</w:t>
        </w:r>
      </w:hyperlink>
      <w:r w:rsidDel="00000000" w:rsidR="00000000" w:rsidRPr="00000000">
        <w:rPr>
          <w:rtl w:val="0"/>
        </w:rPr>
      </w:r>
    </w:p>
    <w:p w:rsidR="00000000" w:rsidDel="00000000" w:rsidP="00000000" w:rsidRDefault="00000000" w:rsidRPr="00000000" w14:paraId="00001781">
      <w:pPr>
        <w:spacing w:after="280" w:before="280" w:lineRule="auto"/>
        <w:jc w:val="both"/>
        <w:rPr/>
      </w:pPr>
      <w:r w:rsidDel="00000000" w:rsidR="00000000" w:rsidRPr="00000000">
        <w:rPr>
          <w:rtl w:val="0"/>
        </w:rPr>
        <w:t xml:space="preserve">Dhagarra, D., Goswami, M. and Kumar, G., 2020. Impact of trust and privacy concerns on technology acceptance in healthcare: An Indian perspective. </w:t>
      </w:r>
      <w:r w:rsidDel="00000000" w:rsidR="00000000" w:rsidRPr="00000000">
        <w:rPr>
          <w:i w:val="1"/>
          <w:rtl w:val="0"/>
        </w:rPr>
        <w:t xml:space="preserve">International Journal of Medical Informatics</w:t>
      </w:r>
      <w:r w:rsidDel="00000000" w:rsidR="00000000" w:rsidRPr="00000000">
        <w:rPr>
          <w:rtl w:val="0"/>
        </w:rPr>
        <w:t xml:space="preserve">, 141, 104164. </w:t>
      </w:r>
      <w:hyperlink r:id="rId77">
        <w:r w:rsidDel="00000000" w:rsidR="00000000" w:rsidRPr="00000000">
          <w:rPr>
            <w:color w:val="0000ff"/>
            <w:u w:val="single"/>
            <w:rtl w:val="0"/>
          </w:rPr>
          <w:t xml:space="preserve">https://doi.org/10.1016/j.ijmedinf.2020.104164</w:t>
        </w:r>
      </w:hyperlink>
      <w:r w:rsidDel="00000000" w:rsidR="00000000" w:rsidRPr="00000000">
        <w:rPr>
          <w:rtl w:val="0"/>
        </w:rPr>
      </w:r>
    </w:p>
    <w:p w:rsidR="00000000" w:rsidDel="00000000" w:rsidP="00000000" w:rsidRDefault="00000000" w:rsidRPr="00000000" w14:paraId="00001782">
      <w:pPr>
        <w:spacing w:after="280" w:before="280" w:lineRule="auto"/>
        <w:jc w:val="both"/>
        <w:rPr/>
      </w:pPr>
      <w:r w:rsidDel="00000000" w:rsidR="00000000" w:rsidRPr="00000000">
        <w:rPr>
          <w:rtl w:val="0"/>
        </w:rPr>
        <w:t xml:space="preserve">Dhlamini, T. and Houreld, N.N., 2022. Clinical effect of photobiomodulation on wound healing of diabetic foot ulcers: Does skin color need to be considered? </w:t>
      </w:r>
      <w:r w:rsidDel="00000000" w:rsidR="00000000" w:rsidRPr="00000000">
        <w:rPr>
          <w:i w:val="1"/>
          <w:rtl w:val="0"/>
        </w:rPr>
        <w:t xml:space="preserve">Journal of Diabetes Research</w:t>
      </w:r>
      <w:r w:rsidDel="00000000" w:rsidR="00000000" w:rsidRPr="00000000">
        <w:rPr>
          <w:rtl w:val="0"/>
        </w:rPr>
        <w:t xml:space="preserve">, 2022, 3312840. </w:t>
      </w:r>
      <w:hyperlink r:id="rId78">
        <w:r w:rsidDel="00000000" w:rsidR="00000000" w:rsidRPr="00000000">
          <w:rPr>
            <w:color w:val="0000ff"/>
            <w:u w:val="single"/>
            <w:rtl w:val="0"/>
          </w:rPr>
          <w:t xml:space="preserve">https://doi.org/10.1155/2022/3312840</w:t>
        </w:r>
      </w:hyperlink>
      <w:r w:rsidDel="00000000" w:rsidR="00000000" w:rsidRPr="00000000">
        <w:rPr>
          <w:rtl w:val="0"/>
        </w:rPr>
      </w:r>
    </w:p>
    <w:p w:rsidR="00000000" w:rsidDel="00000000" w:rsidP="00000000" w:rsidRDefault="00000000" w:rsidRPr="00000000" w14:paraId="00001783">
      <w:pPr>
        <w:spacing w:after="280" w:before="280" w:lineRule="auto"/>
        <w:jc w:val="both"/>
        <w:rPr/>
      </w:pPr>
      <w:r w:rsidDel="00000000" w:rsidR="00000000" w:rsidRPr="00000000">
        <w:rPr>
          <w:rtl w:val="0"/>
        </w:rPr>
        <w:t xml:space="preserve">Dompe, C., Moncrieff, L., Matys, J., Grzech-Leśniak, K., Kocherova, I., Bryja, A., Bruska, M., Dominiak, M., Mozdziak, P., Skiba, T.H.I., Shibli, J.A., Angelova Volponi, A., Kempisty, B. and Dyszkiewicz-Konwińska, M., 2020. Photobiomodulation—Underlying mechanism and clinical applications. </w:t>
      </w:r>
      <w:r w:rsidDel="00000000" w:rsidR="00000000" w:rsidRPr="00000000">
        <w:rPr>
          <w:i w:val="1"/>
          <w:rtl w:val="0"/>
        </w:rPr>
        <w:t xml:space="preserve">Journal of Clinical Medicine</w:t>
      </w:r>
      <w:r w:rsidDel="00000000" w:rsidR="00000000" w:rsidRPr="00000000">
        <w:rPr>
          <w:rtl w:val="0"/>
        </w:rPr>
        <w:t xml:space="preserve">, 9(6), 1724. </w:t>
      </w:r>
      <w:hyperlink r:id="rId79">
        <w:r w:rsidDel="00000000" w:rsidR="00000000" w:rsidRPr="00000000">
          <w:rPr>
            <w:color w:val="0000ff"/>
            <w:u w:val="single"/>
            <w:rtl w:val="0"/>
          </w:rPr>
          <w:t xml:space="preserve">https://doi.org/10.3390/jcm9061724</w:t>
        </w:r>
      </w:hyperlink>
      <w:r w:rsidDel="00000000" w:rsidR="00000000" w:rsidRPr="00000000">
        <w:rPr>
          <w:rtl w:val="0"/>
        </w:rPr>
      </w:r>
    </w:p>
    <w:p w:rsidR="00000000" w:rsidDel="00000000" w:rsidP="00000000" w:rsidRDefault="00000000" w:rsidRPr="00000000" w14:paraId="00001784">
      <w:pPr>
        <w:spacing w:after="280" w:before="280" w:lineRule="auto"/>
        <w:jc w:val="both"/>
        <w:rPr/>
      </w:pPr>
      <w:r w:rsidDel="00000000" w:rsidR="00000000" w:rsidRPr="00000000">
        <w:rPr>
          <w:rtl w:val="0"/>
        </w:rPr>
        <w:t xml:space="preserve">Douzi, W., Dupuy, O., Tanneau, M., Boucard, G., Bouzigon, R. and Dugue, B., 2019. 3-min whole body cryotherapy/cryostimulation after training in the evening improves sleep quality in physically active men. </w:t>
      </w:r>
      <w:r w:rsidDel="00000000" w:rsidR="00000000" w:rsidRPr="00000000">
        <w:rPr>
          <w:i w:val="1"/>
          <w:rtl w:val="0"/>
        </w:rPr>
        <w:t xml:space="preserve">European Journal of Sport Science</w:t>
      </w:r>
      <w:r w:rsidDel="00000000" w:rsidR="00000000" w:rsidRPr="00000000">
        <w:rPr>
          <w:rtl w:val="0"/>
        </w:rPr>
        <w:t xml:space="preserve">, 19(7), pp.860–867. </w:t>
      </w:r>
      <w:hyperlink r:id="rId80">
        <w:r w:rsidDel="00000000" w:rsidR="00000000" w:rsidRPr="00000000">
          <w:rPr>
            <w:color w:val="0000ff"/>
            <w:u w:val="single"/>
            <w:rtl w:val="0"/>
          </w:rPr>
          <w:t xml:space="preserve">https://doi.org/10.1080/17461391.2018.1551937</w:t>
        </w:r>
      </w:hyperlink>
      <w:r w:rsidDel="00000000" w:rsidR="00000000" w:rsidRPr="00000000">
        <w:rPr>
          <w:rtl w:val="0"/>
        </w:rPr>
      </w:r>
    </w:p>
    <w:p w:rsidR="00000000" w:rsidDel="00000000" w:rsidP="00000000" w:rsidRDefault="00000000" w:rsidRPr="00000000" w14:paraId="00001785">
      <w:pPr>
        <w:spacing w:after="280" w:before="280" w:lineRule="auto"/>
        <w:jc w:val="both"/>
        <w:rPr/>
      </w:pPr>
      <w:r w:rsidDel="00000000" w:rsidR="00000000" w:rsidRPr="00000000">
        <w:rPr>
          <w:rtl w:val="0"/>
        </w:rPr>
        <w:t xml:space="preserve">Duncker, D., Ding, W.Y., Etheridge, S., Noseworthy, P.A., Veltmann, C., Yao, X., Bunch, T.J. and Gupta, D., 2021. Smart wearables for cardiac monitoring—Real-world use beyond atrial fibrillation. </w:t>
      </w:r>
      <w:r w:rsidDel="00000000" w:rsidR="00000000" w:rsidRPr="00000000">
        <w:rPr>
          <w:i w:val="1"/>
          <w:rtl w:val="0"/>
        </w:rPr>
        <w:t xml:space="preserve">Sensors</w:t>
      </w:r>
      <w:r w:rsidDel="00000000" w:rsidR="00000000" w:rsidRPr="00000000">
        <w:rPr>
          <w:rtl w:val="0"/>
        </w:rPr>
        <w:t xml:space="preserve">, 21(7), 2539. </w:t>
      </w:r>
      <w:hyperlink r:id="rId81">
        <w:r w:rsidDel="00000000" w:rsidR="00000000" w:rsidRPr="00000000">
          <w:rPr>
            <w:color w:val="0000ff"/>
            <w:u w:val="single"/>
            <w:rtl w:val="0"/>
          </w:rPr>
          <w:t xml:space="preserve">https://doi.org/10.3390/s21072539</w:t>
        </w:r>
      </w:hyperlink>
      <w:r w:rsidDel="00000000" w:rsidR="00000000" w:rsidRPr="00000000">
        <w:rPr>
          <w:rtl w:val="0"/>
        </w:rPr>
      </w:r>
    </w:p>
    <w:p w:rsidR="00000000" w:rsidDel="00000000" w:rsidP="00000000" w:rsidRDefault="00000000" w:rsidRPr="00000000" w14:paraId="00001786">
      <w:pPr>
        <w:spacing w:after="280" w:before="280" w:lineRule="auto"/>
        <w:jc w:val="both"/>
        <w:rPr/>
      </w:pPr>
      <w:r w:rsidDel="00000000" w:rsidR="00000000" w:rsidRPr="00000000">
        <w:rPr>
          <w:rtl w:val="0"/>
        </w:rPr>
        <w:t xml:space="preserve">Edo, O.C., Ang, D., Etu, E.-E., Tenebe, I., Edo, S. and Diekola, O.A., 2023. Why do healthcare workers adopt digital health technologies? A cross-sectional study integrating the TAM and UTAUT model in a developing economy. </w:t>
      </w:r>
      <w:r w:rsidDel="00000000" w:rsidR="00000000" w:rsidRPr="00000000">
        <w:rPr>
          <w:i w:val="1"/>
          <w:rtl w:val="0"/>
        </w:rPr>
        <w:t xml:space="preserve">International Journal of Information Management Data Insights</w:t>
      </w:r>
      <w:r w:rsidDel="00000000" w:rsidR="00000000" w:rsidRPr="00000000">
        <w:rPr>
          <w:rtl w:val="0"/>
        </w:rPr>
        <w:t xml:space="preserve">, 3(2), 100186. </w:t>
      </w:r>
      <w:hyperlink r:id="rId82">
        <w:r w:rsidDel="00000000" w:rsidR="00000000" w:rsidRPr="00000000">
          <w:rPr>
            <w:color w:val="0000ff"/>
            <w:u w:val="single"/>
            <w:rtl w:val="0"/>
          </w:rPr>
          <w:t xml:space="preserve">https://doi.org/10.1016/j.jjimei.2023.100186</w:t>
        </w:r>
      </w:hyperlink>
      <w:r w:rsidDel="00000000" w:rsidR="00000000" w:rsidRPr="00000000">
        <w:rPr>
          <w:rtl w:val="0"/>
        </w:rPr>
      </w:r>
    </w:p>
    <w:p w:rsidR="00000000" w:rsidDel="00000000" w:rsidP="00000000" w:rsidRDefault="00000000" w:rsidRPr="00000000" w14:paraId="00001787">
      <w:pPr>
        <w:spacing w:after="280" w:before="280" w:lineRule="auto"/>
        <w:jc w:val="both"/>
        <w:rPr/>
      </w:pPr>
      <w:r w:rsidDel="00000000" w:rsidR="00000000" w:rsidRPr="00000000">
        <w:rPr>
          <w:rtl w:val="0"/>
        </w:rPr>
        <w:t xml:space="preserve">Eisenbud, D.E., 2012. Oxygen in wound healing: Nutrient, antibiotic, signaling molecule, and therapeutic agent. </w:t>
      </w:r>
      <w:r w:rsidDel="00000000" w:rsidR="00000000" w:rsidRPr="00000000">
        <w:rPr>
          <w:i w:val="1"/>
          <w:rtl w:val="0"/>
        </w:rPr>
        <w:t xml:space="preserve">Clinics in Plastic Surgery</w:t>
      </w:r>
      <w:r w:rsidDel="00000000" w:rsidR="00000000" w:rsidRPr="00000000">
        <w:rPr>
          <w:rtl w:val="0"/>
        </w:rPr>
        <w:t xml:space="preserve">, 39(3), pp.293–310. </w:t>
      </w:r>
      <w:hyperlink r:id="rId83">
        <w:r w:rsidDel="00000000" w:rsidR="00000000" w:rsidRPr="00000000">
          <w:rPr>
            <w:color w:val="0000ff"/>
            <w:u w:val="single"/>
            <w:rtl w:val="0"/>
          </w:rPr>
          <w:t xml:space="preserve">https://doi.org/10.1016/j.cps.2012.05.001</w:t>
        </w:r>
      </w:hyperlink>
      <w:r w:rsidDel="00000000" w:rsidR="00000000" w:rsidRPr="00000000">
        <w:rPr>
          <w:rtl w:val="0"/>
        </w:rPr>
      </w:r>
    </w:p>
    <w:p w:rsidR="00000000" w:rsidDel="00000000" w:rsidP="00000000" w:rsidRDefault="00000000" w:rsidRPr="00000000" w14:paraId="00001788">
      <w:pPr>
        <w:spacing w:after="280" w:before="280" w:lineRule="auto"/>
        <w:jc w:val="both"/>
        <w:rPr/>
      </w:pPr>
      <w:r w:rsidDel="00000000" w:rsidR="00000000" w:rsidRPr="00000000">
        <w:rPr>
          <w:rtl w:val="0"/>
        </w:rPr>
        <w:t xml:space="preserve">Ekundayo, F. and Nyavor, H., 2024. AI-driven predictive analytics in cardiovascular diseases: Integrating big data and machine learning for early diagnosis and risk prediction. </w:t>
      </w:r>
      <w:r w:rsidDel="00000000" w:rsidR="00000000" w:rsidRPr="00000000">
        <w:rPr>
          <w:i w:val="1"/>
          <w:rtl w:val="0"/>
        </w:rPr>
        <w:t xml:space="preserve">International Journal of Research Publication and Reviews</w:t>
      </w:r>
      <w:r w:rsidDel="00000000" w:rsidR="00000000" w:rsidRPr="00000000">
        <w:rPr>
          <w:rtl w:val="0"/>
        </w:rPr>
        <w:t xml:space="preserve">, 5, pp.1240–1256. </w:t>
      </w:r>
      <w:hyperlink r:id="rId84">
        <w:r w:rsidDel="00000000" w:rsidR="00000000" w:rsidRPr="00000000">
          <w:rPr>
            <w:color w:val="0000ff"/>
            <w:u w:val="single"/>
            <w:rtl w:val="0"/>
          </w:rPr>
          <w:t xml:space="preserve">https://doi.org/10.55248/gengpi.5.1224.3437</w:t>
        </w:r>
      </w:hyperlink>
      <w:r w:rsidDel="00000000" w:rsidR="00000000" w:rsidRPr="00000000">
        <w:rPr>
          <w:rtl w:val="0"/>
        </w:rPr>
      </w:r>
    </w:p>
    <w:p w:rsidR="00000000" w:rsidDel="00000000" w:rsidP="00000000" w:rsidRDefault="00000000" w:rsidRPr="00000000" w14:paraId="00001789">
      <w:pPr>
        <w:spacing w:after="280" w:before="280" w:lineRule="auto"/>
        <w:jc w:val="both"/>
        <w:rPr/>
      </w:pPr>
      <w:r w:rsidDel="00000000" w:rsidR="00000000" w:rsidRPr="00000000">
        <w:rPr>
          <w:rtl w:val="0"/>
        </w:rPr>
        <w:t xml:space="preserve">Ellis, R.C., Kohler, C.L. and Dvorak, J.E., 2022. Cryotherapy-induced burns: A case series of three patients. </w:t>
      </w:r>
      <w:r w:rsidDel="00000000" w:rsidR="00000000" w:rsidRPr="00000000">
        <w:rPr>
          <w:i w:val="1"/>
          <w:rtl w:val="0"/>
        </w:rPr>
        <w:t xml:space="preserve">Journal of Burn Care &amp; Research</w:t>
      </w:r>
      <w:r w:rsidDel="00000000" w:rsidR="00000000" w:rsidRPr="00000000">
        <w:rPr>
          <w:rtl w:val="0"/>
        </w:rPr>
        <w:t xml:space="preserve">, 43(3), pp.746–748. </w:t>
      </w:r>
      <w:hyperlink r:id="rId85">
        <w:r w:rsidDel="00000000" w:rsidR="00000000" w:rsidRPr="00000000">
          <w:rPr>
            <w:color w:val="0000ff"/>
            <w:u w:val="single"/>
            <w:rtl w:val="0"/>
          </w:rPr>
          <w:t xml:space="preserve">https://doi.org/10.1093/jbcr/irac027</w:t>
        </w:r>
      </w:hyperlink>
      <w:r w:rsidDel="00000000" w:rsidR="00000000" w:rsidRPr="00000000">
        <w:rPr>
          <w:rtl w:val="0"/>
        </w:rPr>
      </w:r>
    </w:p>
    <w:p w:rsidR="00000000" w:rsidDel="00000000" w:rsidP="00000000" w:rsidRDefault="00000000" w:rsidRPr="00000000" w14:paraId="0000178A">
      <w:pPr>
        <w:spacing w:after="280" w:before="280" w:lineRule="auto"/>
        <w:jc w:val="both"/>
        <w:rPr/>
      </w:pPr>
      <w:r w:rsidDel="00000000" w:rsidR="00000000" w:rsidRPr="00000000">
        <w:rPr>
          <w:rtl w:val="0"/>
        </w:rPr>
        <w:t xml:space="preserve">Epstein, R.M., Fiscella, K., Lesser, C.S. and Stange, K.C., 2010. Why the nation needs a policy push on patient-centered health care. </w:t>
      </w:r>
      <w:r w:rsidDel="00000000" w:rsidR="00000000" w:rsidRPr="00000000">
        <w:rPr>
          <w:i w:val="1"/>
          <w:rtl w:val="0"/>
        </w:rPr>
        <w:t xml:space="preserve">Health Affairs</w:t>
      </w:r>
      <w:r w:rsidDel="00000000" w:rsidR="00000000" w:rsidRPr="00000000">
        <w:rPr>
          <w:rtl w:val="0"/>
        </w:rPr>
        <w:t xml:space="preserve">, 29(8), pp.1489–1495. </w:t>
      </w:r>
      <w:hyperlink r:id="rId86">
        <w:r w:rsidDel="00000000" w:rsidR="00000000" w:rsidRPr="00000000">
          <w:rPr>
            <w:color w:val="0000ff"/>
            <w:u w:val="single"/>
            <w:rtl w:val="0"/>
          </w:rPr>
          <w:t xml:space="preserve">https://doi.org/10.1377/hlthaff.2009.0888</w:t>
        </w:r>
      </w:hyperlink>
      <w:r w:rsidDel="00000000" w:rsidR="00000000" w:rsidRPr="00000000">
        <w:rPr>
          <w:rtl w:val="0"/>
        </w:rPr>
      </w:r>
    </w:p>
    <w:p w:rsidR="00000000" w:rsidDel="00000000" w:rsidP="00000000" w:rsidRDefault="00000000" w:rsidRPr="00000000" w14:paraId="0000178B">
      <w:pPr>
        <w:spacing w:after="280" w:before="280" w:lineRule="auto"/>
        <w:jc w:val="both"/>
        <w:rPr/>
      </w:pPr>
      <w:r w:rsidDel="00000000" w:rsidR="00000000" w:rsidRPr="00000000">
        <w:rPr>
          <w:rtl w:val="0"/>
        </w:rPr>
        <w:t xml:space="preserve">Esperland, D., de Weerd, L. and Mercer, J.B., 2022. Health effects of voluntary exposure to cold water – a continuing subject of debate. </w:t>
      </w:r>
      <w:r w:rsidDel="00000000" w:rsidR="00000000" w:rsidRPr="00000000">
        <w:rPr>
          <w:i w:val="1"/>
          <w:rtl w:val="0"/>
        </w:rPr>
        <w:t xml:space="preserve">International Journal of Circumpolar Health</w:t>
      </w:r>
      <w:r w:rsidDel="00000000" w:rsidR="00000000" w:rsidRPr="00000000">
        <w:rPr>
          <w:rtl w:val="0"/>
        </w:rPr>
        <w:t xml:space="preserve">, 81(1), 2111789. </w:t>
      </w:r>
      <w:hyperlink r:id="rId87">
        <w:r w:rsidDel="00000000" w:rsidR="00000000" w:rsidRPr="00000000">
          <w:rPr>
            <w:color w:val="0000ff"/>
            <w:u w:val="single"/>
            <w:rtl w:val="0"/>
          </w:rPr>
          <w:t xml:space="preserve">https://doi.org/10.1080/22423982.2022.2111789</w:t>
        </w:r>
      </w:hyperlink>
      <w:r w:rsidDel="00000000" w:rsidR="00000000" w:rsidRPr="00000000">
        <w:rPr>
          <w:rtl w:val="0"/>
        </w:rPr>
      </w:r>
    </w:p>
    <w:p w:rsidR="00000000" w:rsidDel="00000000" w:rsidP="00000000" w:rsidRDefault="00000000" w:rsidRPr="00000000" w14:paraId="0000178C">
      <w:pPr>
        <w:spacing w:after="280" w:before="280" w:lineRule="auto"/>
        <w:jc w:val="both"/>
        <w:rPr/>
      </w:pPr>
      <w:r w:rsidDel="00000000" w:rsidR="00000000" w:rsidRPr="00000000">
        <w:rPr>
          <w:rtl w:val="0"/>
        </w:rPr>
        <w:t xml:space="preserve">Ettaloui, N., Arezki, S. and Gadi, T., 2024. Blockchain-based electronic health record: Systematic literature review. </w:t>
      </w:r>
      <w:r w:rsidDel="00000000" w:rsidR="00000000" w:rsidRPr="00000000">
        <w:rPr>
          <w:i w:val="1"/>
          <w:rtl w:val="0"/>
        </w:rPr>
        <w:t xml:space="preserve">Human Behavior and Emerging Technologies</w:t>
      </w:r>
      <w:r w:rsidDel="00000000" w:rsidR="00000000" w:rsidRPr="00000000">
        <w:rPr>
          <w:rtl w:val="0"/>
        </w:rPr>
        <w:t xml:space="preserve">, 2024, 4734288. </w:t>
      </w:r>
      <w:hyperlink r:id="rId88">
        <w:r w:rsidDel="00000000" w:rsidR="00000000" w:rsidRPr="00000000">
          <w:rPr>
            <w:color w:val="0000ff"/>
            <w:u w:val="single"/>
            <w:rtl w:val="0"/>
          </w:rPr>
          <w:t xml:space="preserve">https://doi.org/10.1155/hbe2/4734288</w:t>
        </w:r>
      </w:hyperlink>
      <w:r w:rsidDel="00000000" w:rsidR="00000000" w:rsidRPr="00000000">
        <w:rPr>
          <w:rtl w:val="0"/>
        </w:rPr>
      </w:r>
    </w:p>
    <w:p w:rsidR="00000000" w:rsidDel="00000000" w:rsidP="00000000" w:rsidRDefault="00000000" w:rsidRPr="00000000" w14:paraId="0000178D">
      <w:pPr>
        <w:spacing w:after="280" w:before="280" w:lineRule="auto"/>
        <w:jc w:val="both"/>
        <w:rPr/>
      </w:pPr>
      <w:r w:rsidDel="00000000" w:rsidR="00000000" w:rsidRPr="00000000">
        <w:rPr>
          <w:rtl w:val="0"/>
        </w:rPr>
        <w:t xml:space="preserve">European Union, 2017. Regulation (EU) 2017/745 of the European Parliament and of the Council. </w:t>
      </w:r>
      <w:r w:rsidDel="00000000" w:rsidR="00000000" w:rsidRPr="00000000">
        <w:rPr>
          <w:i w:val="1"/>
          <w:rtl w:val="0"/>
        </w:rPr>
        <w:t xml:space="preserve">Official Journal of the European Union</w:t>
      </w:r>
      <w:r w:rsidDel="00000000" w:rsidR="00000000" w:rsidRPr="00000000">
        <w:rPr>
          <w:rtl w:val="0"/>
        </w:rPr>
        <w:t xml:space="preserve">. [online] Available at: </w:t>
      </w:r>
      <w:hyperlink r:id="rId89">
        <w:r w:rsidDel="00000000" w:rsidR="00000000" w:rsidRPr="00000000">
          <w:rPr>
            <w:color w:val="0000ff"/>
            <w:u w:val="single"/>
            <w:rtl w:val="0"/>
          </w:rPr>
          <w:t xml:space="preserve">https://eur-lex.europa.eu/legal-content/EN/TXT/PDF/?uri=CELEX:32017R0745</w:t>
        </w:r>
      </w:hyperlink>
      <w:r w:rsidDel="00000000" w:rsidR="00000000" w:rsidRPr="00000000">
        <w:rPr>
          <w:rtl w:val="0"/>
        </w:rPr>
        <w:t xml:space="preserve"> [Accessed 18 May 2025].</w:t>
      </w:r>
    </w:p>
    <w:p w:rsidR="00000000" w:rsidDel="00000000" w:rsidP="00000000" w:rsidRDefault="00000000" w:rsidRPr="00000000" w14:paraId="0000178E">
      <w:pPr>
        <w:spacing w:after="280" w:before="280" w:lineRule="auto"/>
        <w:jc w:val="both"/>
        <w:rPr/>
      </w:pPr>
      <w:r w:rsidDel="00000000" w:rsidR="00000000" w:rsidRPr="00000000">
        <w:rPr>
          <w:rtl w:val="0"/>
        </w:rPr>
        <w:t xml:space="preserve">Fabbrizio, A., Fucarino, A., Cantoia, M., De Giorgio, A., Garrido, N.D., Iuliano, E., Reis, V.M., Sausa, M., Vilaça-Alves, J., Zimatore, G., Baldari, C. and Macaluso, F., 2023. Smart devices for health and wellness applied to tele-exercise: An overview of new trends and technologies such as IoT and AI. </w:t>
      </w:r>
      <w:r w:rsidDel="00000000" w:rsidR="00000000" w:rsidRPr="00000000">
        <w:rPr>
          <w:i w:val="1"/>
          <w:rtl w:val="0"/>
        </w:rPr>
        <w:t xml:space="preserve">Healthcare (Basel, Switzerland)</w:t>
      </w:r>
      <w:r w:rsidDel="00000000" w:rsidR="00000000" w:rsidRPr="00000000">
        <w:rPr>
          <w:rtl w:val="0"/>
        </w:rPr>
        <w:t xml:space="preserve">, 11(12), 1805. </w:t>
      </w:r>
      <w:hyperlink r:id="rId90">
        <w:r w:rsidDel="00000000" w:rsidR="00000000" w:rsidRPr="00000000">
          <w:rPr>
            <w:color w:val="0000ff"/>
            <w:u w:val="single"/>
            <w:rtl w:val="0"/>
          </w:rPr>
          <w:t xml:space="preserve">https://doi.org/10.3390/healthcare11121805</w:t>
        </w:r>
      </w:hyperlink>
      <w:r w:rsidDel="00000000" w:rsidR="00000000" w:rsidRPr="00000000">
        <w:rPr>
          <w:rtl w:val="0"/>
        </w:rPr>
      </w:r>
    </w:p>
    <w:p w:rsidR="00000000" w:rsidDel="00000000" w:rsidP="00000000" w:rsidRDefault="00000000" w:rsidRPr="00000000" w14:paraId="0000178F">
      <w:pPr>
        <w:spacing w:after="280" w:before="280" w:lineRule="auto"/>
        <w:jc w:val="both"/>
        <w:rPr/>
      </w:pPr>
      <w:r w:rsidDel="00000000" w:rsidR="00000000" w:rsidRPr="00000000">
        <w:rPr>
          <w:rtl w:val="0"/>
        </w:rPr>
        <w:t xml:space="preserve">Faqih, M., 2016. An empirical analysis of factors predicting the behavioral intention to adopt Internet shopping technology among non-shoppers in a developing country context: Does gender matter? </w:t>
      </w:r>
      <w:r w:rsidDel="00000000" w:rsidR="00000000" w:rsidRPr="00000000">
        <w:rPr>
          <w:i w:val="1"/>
          <w:rtl w:val="0"/>
        </w:rPr>
        <w:t xml:space="preserve">Journal of Retailing and Consumer Services</w:t>
      </w:r>
      <w:r w:rsidDel="00000000" w:rsidR="00000000" w:rsidRPr="00000000">
        <w:rPr>
          <w:rtl w:val="0"/>
        </w:rPr>
        <w:t xml:space="preserve">, 30, pp.140–164. </w:t>
      </w:r>
      <w:hyperlink r:id="rId91">
        <w:r w:rsidDel="00000000" w:rsidR="00000000" w:rsidRPr="00000000">
          <w:rPr>
            <w:color w:val="0000ff"/>
            <w:u w:val="single"/>
            <w:rtl w:val="0"/>
          </w:rPr>
          <w:t xml:space="preserve">https://doi.org/10.1016/j.jretconser.2016.01.016</w:t>
        </w:r>
      </w:hyperlink>
      <w:r w:rsidDel="00000000" w:rsidR="00000000" w:rsidRPr="00000000">
        <w:rPr>
          <w:rtl w:val="0"/>
        </w:rPr>
      </w:r>
    </w:p>
    <w:p w:rsidR="00000000" w:rsidDel="00000000" w:rsidP="00000000" w:rsidRDefault="00000000" w:rsidRPr="00000000" w14:paraId="00001790">
      <w:pPr>
        <w:spacing w:after="280" w:before="280" w:lineRule="auto"/>
        <w:jc w:val="both"/>
        <w:rPr/>
      </w:pPr>
      <w:r w:rsidDel="00000000" w:rsidR="00000000" w:rsidRPr="00000000">
        <w:rPr>
          <w:rtl w:val="0"/>
        </w:rPr>
        <w:t xml:space="preserve">Fedorko, I., Bačík, R. and Gavurová, B., 2018. Technology acceptance model in e-commerce segment. </w:t>
      </w:r>
      <w:r w:rsidDel="00000000" w:rsidR="00000000" w:rsidRPr="00000000">
        <w:rPr>
          <w:i w:val="1"/>
          <w:rtl w:val="0"/>
        </w:rPr>
        <w:t xml:space="preserve">Management &amp; Marketing</w:t>
      </w:r>
      <w:r w:rsidDel="00000000" w:rsidR="00000000" w:rsidRPr="00000000">
        <w:rPr>
          <w:rtl w:val="0"/>
        </w:rPr>
        <w:t xml:space="preserve">, 13, pp.1242–1256. </w:t>
      </w:r>
      <w:hyperlink r:id="rId92">
        <w:r w:rsidDel="00000000" w:rsidR="00000000" w:rsidRPr="00000000">
          <w:rPr>
            <w:color w:val="0000ff"/>
            <w:u w:val="single"/>
            <w:rtl w:val="0"/>
          </w:rPr>
          <w:t xml:space="preserve">https://doi.org/10.2478/mmcks-2018-0034</w:t>
        </w:r>
      </w:hyperlink>
      <w:r w:rsidDel="00000000" w:rsidR="00000000" w:rsidRPr="00000000">
        <w:rPr>
          <w:rtl w:val="0"/>
        </w:rPr>
      </w:r>
    </w:p>
    <w:p w:rsidR="00000000" w:rsidDel="00000000" w:rsidP="00000000" w:rsidRDefault="00000000" w:rsidRPr="00000000" w14:paraId="00001791">
      <w:pPr>
        <w:spacing w:after="280" w:before="280" w:lineRule="auto"/>
        <w:jc w:val="both"/>
        <w:rPr/>
      </w:pPr>
      <w:r w:rsidDel="00000000" w:rsidR="00000000" w:rsidRPr="00000000">
        <w:rPr>
          <w:rtl w:val="0"/>
        </w:rPr>
        <w:t xml:space="preserve">Fedorko, I., Bačík, R. and Gavurová, B., 2021. Effort expectancy and social influence factors as main determinants of performance expectancy using electronic banking. </w:t>
      </w:r>
      <w:r w:rsidDel="00000000" w:rsidR="00000000" w:rsidRPr="00000000">
        <w:rPr>
          <w:i w:val="1"/>
          <w:rtl w:val="0"/>
        </w:rPr>
        <w:t xml:space="preserve">Banks and Bank Systems</w:t>
      </w:r>
      <w:r w:rsidDel="00000000" w:rsidR="00000000" w:rsidRPr="00000000">
        <w:rPr>
          <w:rtl w:val="0"/>
        </w:rPr>
        <w:t xml:space="preserve">, 16(2), pp.27–37. </w:t>
      </w:r>
      <w:hyperlink r:id="rId93">
        <w:r w:rsidDel="00000000" w:rsidR="00000000" w:rsidRPr="00000000">
          <w:rPr>
            <w:color w:val="0000ff"/>
            <w:u w:val="single"/>
            <w:rtl w:val="0"/>
          </w:rPr>
          <w:t xml:space="preserve">https://doi.org/10.21511/bbs.16(2).2021.03</w:t>
        </w:r>
      </w:hyperlink>
      <w:r w:rsidDel="00000000" w:rsidR="00000000" w:rsidRPr="00000000">
        <w:rPr>
          <w:rtl w:val="0"/>
        </w:rPr>
      </w:r>
    </w:p>
    <w:p w:rsidR="00000000" w:rsidDel="00000000" w:rsidP="00000000" w:rsidRDefault="00000000" w:rsidRPr="00000000" w14:paraId="00001792">
      <w:pPr>
        <w:spacing w:after="280" w:before="280" w:lineRule="auto"/>
        <w:jc w:val="both"/>
        <w:rPr/>
      </w:pPr>
      <w:r w:rsidDel="00000000" w:rsidR="00000000" w:rsidRPr="00000000">
        <w:rPr>
          <w:rtl w:val="0"/>
        </w:rPr>
        <w:t xml:space="preserve">Felber, N.A., Lipworth, W., Tian, Y.J. and Others, 2024. Informing existing technology acceptance models: A qualitative study with older persons and caregivers. </w:t>
      </w:r>
      <w:r w:rsidDel="00000000" w:rsidR="00000000" w:rsidRPr="00000000">
        <w:rPr>
          <w:i w:val="1"/>
          <w:rtl w:val="0"/>
        </w:rPr>
        <w:t xml:space="preserve">European Journal of Ageing</w:t>
      </w:r>
      <w:r w:rsidDel="00000000" w:rsidR="00000000" w:rsidRPr="00000000">
        <w:rPr>
          <w:rtl w:val="0"/>
        </w:rPr>
        <w:t xml:space="preserve">, 21, 12. </w:t>
      </w:r>
      <w:hyperlink r:id="rId94">
        <w:r w:rsidDel="00000000" w:rsidR="00000000" w:rsidRPr="00000000">
          <w:rPr>
            <w:color w:val="0000ff"/>
            <w:u w:val="single"/>
            <w:rtl w:val="0"/>
          </w:rPr>
          <w:t xml:space="preserve">https://doi.org/10.1007/s10433-024-00801-5</w:t>
        </w:r>
      </w:hyperlink>
      <w:r w:rsidDel="00000000" w:rsidR="00000000" w:rsidRPr="00000000">
        <w:rPr>
          <w:rtl w:val="0"/>
        </w:rPr>
      </w:r>
    </w:p>
    <w:p w:rsidR="00000000" w:rsidDel="00000000" w:rsidP="00000000" w:rsidRDefault="00000000" w:rsidRPr="00000000" w14:paraId="00001793">
      <w:pPr>
        <w:spacing w:after="280" w:before="280" w:lineRule="auto"/>
        <w:jc w:val="both"/>
        <w:rPr/>
      </w:pPr>
      <w:r w:rsidDel="00000000" w:rsidR="00000000" w:rsidRPr="00000000">
        <w:rPr>
          <w:rtl w:val="0"/>
        </w:rPr>
        <w:t xml:space="preserve">Ferraresi, C., Huang, Y.Y. and Hamblin, M.R., 2016. Photobiomodulation in human muscle tissue: An advantage in sports performance? </w:t>
      </w:r>
      <w:r w:rsidDel="00000000" w:rsidR="00000000" w:rsidRPr="00000000">
        <w:rPr>
          <w:i w:val="1"/>
          <w:rtl w:val="0"/>
        </w:rPr>
        <w:t xml:space="preserve">Journal of Biophotonics</w:t>
      </w:r>
      <w:r w:rsidDel="00000000" w:rsidR="00000000" w:rsidRPr="00000000">
        <w:rPr>
          <w:rtl w:val="0"/>
        </w:rPr>
        <w:t xml:space="preserve">, 9(11–12), pp.1273–1299. </w:t>
      </w:r>
      <w:hyperlink r:id="rId95">
        <w:r w:rsidDel="00000000" w:rsidR="00000000" w:rsidRPr="00000000">
          <w:rPr>
            <w:color w:val="0000ff"/>
            <w:u w:val="single"/>
            <w:rtl w:val="0"/>
          </w:rPr>
          <w:t xml:space="preserve">https://doi.org/10.1002/jbio.201600176</w:t>
        </w:r>
      </w:hyperlink>
      <w:r w:rsidDel="00000000" w:rsidR="00000000" w:rsidRPr="00000000">
        <w:rPr>
          <w:rtl w:val="0"/>
        </w:rPr>
      </w:r>
    </w:p>
    <w:p w:rsidR="00000000" w:rsidDel="00000000" w:rsidP="00000000" w:rsidRDefault="00000000" w:rsidRPr="00000000" w14:paraId="00001794">
      <w:pPr>
        <w:spacing w:after="280" w:before="280" w:lineRule="auto"/>
        <w:jc w:val="both"/>
        <w:rPr/>
      </w:pPr>
      <w:r w:rsidDel="00000000" w:rsidR="00000000" w:rsidRPr="00000000">
        <w:rPr>
          <w:rtl w:val="0"/>
        </w:rPr>
        <w:t xml:space="preserve">Fishbein, M. and Ajzen, I., 1975. </w:t>
      </w:r>
      <w:r w:rsidDel="00000000" w:rsidR="00000000" w:rsidRPr="00000000">
        <w:rPr>
          <w:i w:val="1"/>
          <w:rtl w:val="0"/>
        </w:rPr>
        <w:t xml:space="preserve">Belief, Attitude, Intention, and Behavior: An Introduction to Theory and Research</w:t>
      </w:r>
      <w:r w:rsidDel="00000000" w:rsidR="00000000" w:rsidRPr="00000000">
        <w:rPr>
          <w:rtl w:val="0"/>
        </w:rPr>
        <w:t xml:space="preserve">. Reading, MA: Addison-Wesley.</w:t>
      </w:r>
    </w:p>
    <w:p w:rsidR="00000000" w:rsidDel="00000000" w:rsidP="00000000" w:rsidRDefault="00000000" w:rsidRPr="00000000" w14:paraId="00001795">
      <w:pPr>
        <w:spacing w:after="280" w:before="280" w:lineRule="auto"/>
        <w:jc w:val="both"/>
        <w:rPr/>
      </w:pPr>
      <w:r w:rsidDel="00000000" w:rsidR="00000000" w:rsidRPr="00000000">
        <w:rPr>
          <w:rtl w:val="0"/>
        </w:rPr>
        <w:t xml:space="preserve">Fishbein, M., 2008. A reasoned action approach to health promotion. </w:t>
      </w:r>
      <w:r w:rsidDel="00000000" w:rsidR="00000000" w:rsidRPr="00000000">
        <w:rPr>
          <w:i w:val="1"/>
          <w:rtl w:val="0"/>
        </w:rPr>
        <w:t xml:space="preserve">Medical Decision Making</w:t>
      </w:r>
      <w:r w:rsidDel="00000000" w:rsidR="00000000" w:rsidRPr="00000000">
        <w:rPr>
          <w:rtl w:val="0"/>
        </w:rPr>
        <w:t xml:space="preserve">, 28(6), pp.834–844. </w:t>
      </w:r>
      <w:hyperlink r:id="rId96">
        <w:r w:rsidDel="00000000" w:rsidR="00000000" w:rsidRPr="00000000">
          <w:rPr>
            <w:color w:val="0000ff"/>
            <w:u w:val="single"/>
            <w:rtl w:val="0"/>
          </w:rPr>
          <w:t xml:space="preserve">https://doi.org/10.1177/0272989X08326092</w:t>
        </w:r>
      </w:hyperlink>
      <w:r w:rsidDel="00000000" w:rsidR="00000000" w:rsidRPr="00000000">
        <w:rPr>
          <w:rtl w:val="0"/>
        </w:rPr>
      </w:r>
    </w:p>
    <w:p w:rsidR="00000000" w:rsidDel="00000000" w:rsidP="00000000" w:rsidRDefault="00000000" w:rsidRPr="00000000" w14:paraId="00001796">
      <w:pPr>
        <w:spacing w:after="280" w:before="280" w:lineRule="auto"/>
        <w:jc w:val="both"/>
        <w:rPr/>
      </w:pPr>
      <w:r w:rsidDel="00000000" w:rsidR="00000000" w:rsidRPr="00000000">
        <w:rPr>
          <w:rtl w:val="0"/>
        </w:rPr>
        <w:t xml:space="preserve">Francisco, A., Pascoal, C., Lamborne, P., Morais, H. and Gonçalves, M., 2025. Wearables and atrial fibrillation: Advances in detection, clinical impact, ethical concerns, and future perspectives. </w:t>
      </w:r>
      <w:r w:rsidDel="00000000" w:rsidR="00000000" w:rsidRPr="00000000">
        <w:rPr>
          <w:i w:val="1"/>
          <w:rtl w:val="0"/>
        </w:rPr>
        <w:t xml:space="preserve">Cureus</w:t>
      </w:r>
      <w:r w:rsidDel="00000000" w:rsidR="00000000" w:rsidRPr="00000000">
        <w:rPr>
          <w:rtl w:val="0"/>
        </w:rPr>
        <w:t xml:space="preserve">, 17(1), e77404. </w:t>
      </w:r>
      <w:hyperlink r:id="rId97">
        <w:r w:rsidDel="00000000" w:rsidR="00000000" w:rsidRPr="00000000">
          <w:rPr>
            <w:color w:val="0000ff"/>
            <w:u w:val="single"/>
            <w:rtl w:val="0"/>
          </w:rPr>
          <w:t xml:space="preserve">https://doi.org/10.7759/cureus.77404</w:t>
        </w:r>
      </w:hyperlink>
      <w:r w:rsidDel="00000000" w:rsidR="00000000" w:rsidRPr="00000000">
        <w:rPr>
          <w:rtl w:val="0"/>
        </w:rPr>
      </w:r>
    </w:p>
    <w:p w:rsidR="00000000" w:rsidDel="00000000" w:rsidP="00000000" w:rsidRDefault="00000000" w:rsidRPr="00000000" w14:paraId="00001797">
      <w:pPr>
        <w:spacing w:after="280" w:before="280" w:lineRule="auto"/>
        <w:jc w:val="both"/>
        <w:rPr/>
      </w:pPr>
      <w:r w:rsidDel="00000000" w:rsidR="00000000" w:rsidRPr="00000000">
        <w:rPr>
          <w:rtl w:val="0"/>
        </w:rPr>
        <w:t xml:space="preserve">Fu, Q., Duan, R., Sun, Y. and Li, Q., 2022. Hyperbaric oxygen therapy for healthy aging: From mechanisms to therapeutics. </w:t>
      </w:r>
      <w:r w:rsidDel="00000000" w:rsidR="00000000" w:rsidRPr="00000000">
        <w:rPr>
          <w:i w:val="1"/>
          <w:rtl w:val="0"/>
        </w:rPr>
        <w:t xml:space="preserve">Redox Biology</w:t>
      </w:r>
      <w:r w:rsidDel="00000000" w:rsidR="00000000" w:rsidRPr="00000000">
        <w:rPr>
          <w:rtl w:val="0"/>
        </w:rPr>
        <w:t xml:space="preserve">, 53, 102352. </w:t>
      </w:r>
      <w:hyperlink r:id="rId98">
        <w:r w:rsidDel="00000000" w:rsidR="00000000" w:rsidRPr="00000000">
          <w:rPr>
            <w:color w:val="0000ff"/>
            <w:u w:val="single"/>
            <w:rtl w:val="0"/>
          </w:rPr>
          <w:t xml:space="preserve">https://doi.org/10.1016/j.redox.2022.102352</w:t>
        </w:r>
      </w:hyperlink>
      <w:r w:rsidDel="00000000" w:rsidR="00000000" w:rsidRPr="00000000">
        <w:rPr>
          <w:rtl w:val="0"/>
        </w:rPr>
      </w:r>
    </w:p>
    <w:p w:rsidR="00000000" w:rsidDel="00000000" w:rsidP="00000000" w:rsidRDefault="00000000" w:rsidRPr="00000000" w14:paraId="00001798">
      <w:pPr>
        <w:spacing w:after="280" w:before="280" w:lineRule="auto"/>
        <w:jc w:val="both"/>
        <w:rPr/>
      </w:pPr>
      <w:r w:rsidDel="00000000" w:rsidR="00000000" w:rsidRPr="00000000">
        <w:rPr>
          <w:rtl w:val="0"/>
        </w:rPr>
        <w:t xml:space="preserve">Gill, A.L. and Bell, C.N.A., 2004. Hyperbaric oxygen: Its uses, mechanisms of action and outcomes. </w:t>
      </w:r>
      <w:r w:rsidDel="00000000" w:rsidR="00000000" w:rsidRPr="00000000">
        <w:rPr>
          <w:i w:val="1"/>
          <w:rtl w:val="0"/>
        </w:rPr>
        <w:t xml:space="preserve">QJM: An International Journal of Medicine</w:t>
      </w:r>
      <w:r w:rsidDel="00000000" w:rsidR="00000000" w:rsidRPr="00000000">
        <w:rPr>
          <w:rtl w:val="0"/>
        </w:rPr>
        <w:t xml:space="preserve">, 97(7), pp.385–395. </w:t>
      </w:r>
      <w:hyperlink r:id="rId99">
        <w:r w:rsidDel="00000000" w:rsidR="00000000" w:rsidRPr="00000000">
          <w:rPr>
            <w:color w:val="0000ff"/>
            <w:u w:val="single"/>
            <w:rtl w:val="0"/>
          </w:rPr>
          <w:t xml:space="preserve">https://doi.org/10.1093/qjmed/hch074</w:t>
        </w:r>
      </w:hyperlink>
      <w:r w:rsidDel="00000000" w:rsidR="00000000" w:rsidRPr="00000000">
        <w:rPr>
          <w:rtl w:val="0"/>
        </w:rPr>
      </w:r>
    </w:p>
    <w:p w:rsidR="00000000" w:rsidDel="00000000" w:rsidP="00000000" w:rsidRDefault="00000000" w:rsidRPr="00000000" w14:paraId="00001799">
      <w:pPr>
        <w:spacing w:after="280" w:before="280" w:lineRule="auto"/>
        <w:jc w:val="both"/>
        <w:rPr/>
      </w:pPr>
      <w:r w:rsidDel="00000000" w:rsidR="00000000" w:rsidRPr="00000000">
        <w:rPr>
          <w:rtl w:val="0"/>
        </w:rPr>
        <w:t xml:space="preserve">Gkintoni, E., Aroutzidis, A., Antonopoulou, H. and Halkiopoulos, C., 2025. From neural networks to emotional networks: A systematic review of EEG-based emotion recognition in cognitive neuroscience and real-world applications. </w:t>
      </w:r>
      <w:r w:rsidDel="00000000" w:rsidR="00000000" w:rsidRPr="00000000">
        <w:rPr>
          <w:i w:val="1"/>
          <w:rtl w:val="0"/>
        </w:rPr>
        <w:t xml:space="preserve">Brain Sciences</w:t>
      </w:r>
      <w:r w:rsidDel="00000000" w:rsidR="00000000" w:rsidRPr="00000000">
        <w:rPr>
          <w:rtl w:val="0"/>
        </w:rPr>
        <w:t xml:space="preserve">, 15(3), 220. </w:t>
      </w:r>
      <w:hyperlink r:id="rId100">
        <w:r w:rsidDel="00000000" w:rsidR="00000000" w:rsidRPr="00000000">
          <w:rPr>
            <w:color w:val="0000ff"/>
            <w:u w:val="single"/>
            <w:rtl w:val="0"/>
          </w:rPr>
          <w:t xml:space="preserve">https://doi.org/10.3390/brainsci15030220</w:t>
        </w:r>
      </w:hyperlink>
      <w:r w:rsidDel="00000000" w:rsidR="00000000" w:rsidRPr="00000000">
        <w:rPr>
          <w:rtl w:val="0"/>
        </w:rPr>
      </w:r>
    </w:p>
    <w:p w:rsidR="00000000" w:rsidDel="00000000" w:rsidP="00000000" w:rsidRDefault="00000000" w:rsidRPr="00000000" w14:paraId="0000179A">
      <w:pPr>
        <w:spacing w:after="280" w:before="280" w:lineRule="auto"/>
        <w:jc w:val="both"/>
        <w:rPr/>
      </w:pPr>
      <w:r w:rsidDel="00000000" w:rsidR="00000000" w:rsidRPr="00000000">
        <w:rPr>
          <w:rtl w:val="0"/>
        </w:rPr>
        <w:t xml:space="preserve">Godden, W., 2004. </w:t>
      </w:r>
      <w:r w:rsidDel="00000000" w:rsidR="00000000" w:rsidRPr="00000000">
        <w:rPr>
          <w:i w:val="1"/>
          <w:rtl w:val="0"/>
        </w:rPr>
        <w:t xml:space="preserve">Sample size formulas</w:t>
      </w:r>
      <w:r w:rsidDel="00000000" w:rsidR="00000000" w:rsidRPr="00000000">
        <w:rPr>
          <w:rtl w:val="0"/>
        </w:rPr>
        <w:t xml:space="preserve">. [online] Available at: </w:t>
      </w:r>
      <w:hyperlink r:id="rId101">
        <w:r w:rsidDel="00000000" w:rsidR="00000000" w:rsidRPr="00000000">
          <w:rPr>
            <w:color w:val="0000ff"/>
            <w:u w:val="single"/>
            <w:rtl w:val="0"/>
          </w:rPr>
          <w:t xml:space="preserve">http://williamgodden.com/samplesizeformula.pdf</w:t>
        </w:r>
      </w:hyperlink>
      <w:r w:rsidDel="00000000" w:rsidR="00000000" w:rsidRPr="00000000">
        <w:rPr>
          <w:rtl w:val="0"/>
        </w:rPr>
        <w:t xml:space="preserve"> [Accessed 18 May 2025].</w:t>
      </w:r>
    </w:p>
    <w:p w:rsidR="00000000" w:rsidDel="00000000" w:rsidP="00000000" w:rsidRDefault="00000000" w:rsidRPr="00000000" w14:paraId="0000179B">
      <w:pPr>
        <w:spacing w:after="280" w:before="280" w:lineRule="auto"/>
        <w:jc w:val="both"/>
        <w:rPr/>
      </w:pPr>
      <w:r w:rsidDel="00000000" w:rsidR="00000000" w:rsidRPr="00000000">
        <w:rPr>
          <w:rtl w:val="0"/>
        </w:rPr>
        <w:t xml:space="preserve">Goldsmith, R.E. and Hofacker, C.F., 1991. Measuring consumer innovativeness. </w:t>
      </w:r>
      <w:r w:rsidDel="00000000" w:rsidR="00000000" w:rsidRPr="00000000">
        <w:rPr>
          <w:i w:val="1"/>
          <w:rtl w:val="0"/>
        </w:rPr>
        <w:t xml:space="preserve">Journal of the Academy of Marketing Science</w:t>
      </w:r>
      <w:r w:rsidDel="00000000" w:rsidR="00000000" w:rsidRPr="00000000">
        <w:rPr>
          <w:rtl w:val="0"/>
        </w:rPr>
        <w:t xml:space="preserve">, 19(3), pp.209–221.</w:t>
      </w:r>
    </w:p>
    <w:p w:rsidR="00000000" w:rsidDel="00000000" w:rsidP="00000000" w:rsidRDefault="00000000" w:rsidRPr="00000000" w14:paraId="0000179C">
      <w:pPr>
        <w:spacing w:after="280" w:before="280" w:lineRule="auto"/>
        <w:jc w:val="both"/>
        <w:rPr/>
      </w:pPr>
      <w:r w:rsidDel="00000000" w:rsidR="00000000" w:rsidRPr="00000000">
        <w:rPr>
          <w:rtl w:val="0"/>
        </w:rPr>
        <w:t xml:space="preserve">Goodman, C.S., 2014. </w:t>
      </w:r>
      <w:r w:rsidDel="00000000" w:rsidR="00000000" w:rsidRPr="00000000">
        <w:rPr>
          <w:i w:val="1"/>
          <w:rtl w:val="0"/>
        </w:rPr>
        <w:t xml:space="preserve">HTA 101: Introduction to health technology assessment</w:t>
      </w:r>
      <w:r w:rsidDel="00000000" w:rsidR="00000000" w:rsidRPr="00000000">
        <w:rPr>
          <w:rtl w:val="0"/>
        </w:rPr>
        <w:t xml:space="preserve">. Bethesda, MD: National Library of Medicine (US).</w:t>
      </w:r>
    </w:p>
    <w:p w:rsidR="00000000" w:rsidDel="00000000" w:rsidP="00000000" w:rsidRDefault="00000000" w:rsidRPr="00000000" w14:paraId="0000179D">
      <w:pPr>
        <w:spacing w:after="280" w:before="280" w:lineRule="auto"/>
        <w:jc w:val="both"/>
        <w:rPr/>
      </w:pPr>
      <w:r w:rsidDel="00000000" w:rsidR="00000000" w:rsidRPr="00000000">
        <w:rPr>
          <w:rtl w:val="0"/>
        </w:rPr>
        <w:t xml:space="preserve">Gormley, B., 2024. Digital-health venture investment rises, but many deals have yet to pay off. </w:t>
      </w:r>
      <w:r w:rsidDel="00000000" w:rsidR="00000000" w:rsidRPr="00000000">
        <w:rPr>
          <w:i w:val="1"/>
          <w:rtl w:val="0"/>
        </w:rPr>
        <w:t xml:space="preserve">The Wall Street Journal</w:t>
      </w:r>
      <w:r w:rsidDel="00000000" w:rsidR="00000000" w:rsidRPr="00000000">
        <w:rPr>
          <w:rtl w:val="0"/>
        </w:rPr>
        <w:t xml:space="preserve">. [online] Available at: </w:t>
      </w:r>
      <w:hyperlink r:id="rId102">
        <w:r w:rsidDel="00000000" w:rsidR="00000000" w:rsidRPr="00000000">
          <w:rPr>
            <w:color w:val="0000ff"/>
            <w:u w:val="single"/>
            <w:rtl w:val="0"/>
          </w:rPr>
          <w:t xml:space="preserve">https://www.wsj.com/articles/digital-health-venture-investment-rises-but-many-deals-have-yet-to-pay-off-d51a312f</w:t>
        </w:r>
      </w:hyperlink>
      <w:r w:rsidDel="00000000" w:rsidR="00000000" w:rsidRPr="00000000">
        <w:rPr>
          <w:rtl w:val="0"/>
        </w:rPr>
        <w:t xml:space="preserve"> [Accessed 18 May 2025].</w:t>
      </w:r>
    </w:p>
    <w:p w:rsidR="00000000" w:rsidDel="00000000" w:rsidP="00000000" w:rsidRDefault="00000000" w:rsidRPr="00000000" w14:paraId="0000179E">
      <w:pPr>
        <w:spacing w:after="280" w:before="280" w:lineRule="auto"/>
        <w:jc w:val="both"/>
        <w:rPr/>
      </w:pPr>
      <w:r w:rsidDel="00000000" w:rsidR="00000000" w:rsidRPr="00000000">
        <w:rPr>
          <w:rtl w:val="0"/>
        </w:rPr>
        <w:t xml:space="preserve">Gostin, L.O. and Wiley, L.F., 2016. </w:t>
      </w:r>
      <w:r w:rsidDel="00000000" w:rsidR="00000000" w:rsidRPr="00000000">
        <w:rPr>
          <w:i w:val="1"/>
          <w:rtl w:val="0"/>
        </w:rPr>
        <w:t xml:space="preserve">Public health law: Power, duty, restraint</w:t>
      </w:r>
      <w:r w:rsidDel="00000000" w:rsidR="00000000" w:rsidRPr="00000000">
        <w:rPr>
          <w:rtl w:val="0"/>
        </w:rPr>
        <w:t xml:space="preserve">. 3rd ed. Oakland, CA: University of California Press. </w:t>
      </w:r>
      <w:hyperlink r:id="rId103">
        <w:r w:rsidDel="00000000" w:rsidR="00000000" w:rsidRPr="00000000">
          <w:rPr>
            <w:color w:val="0000ff"/>
            <w:u w:val="single"/>
            <w:rtl w:val="0"/>
          </w:rPr>
          <w:t xml:space="preserve">https://www.jstor.org/stable/10.1525/j.ctt1ffjqd8</w:t>
        </w:r>
      </w:hyperlink>
      <w:r w:rsidDel="00000000" w:rsidR="00000000" w:rsidRPr="00000000">
        <w:rPr>
          <w:rtl w:val="0"/>
        </w:rPr>
      </w:r>
    </w:p>
    <w:p w:rsidR="00000000" w:rsidDel="00000000" w:rsidP="00000000" w:rsidRDefault="00000000" w:rsidRPr="00000000" w14:paraId="0000179F">
      <w:pPr>
        <w:spacing w:after="280" w:before="280" w:lineRule="auto"/>
        <w:jc w:val="both"/>
        <w:rPr/>
      </w:pPr>
      <w:r w:rsidDel="00000000" w:rsidR="00000000" w:rsidRPr="00000000">
        <w:rPr>
          <w:rtl w:val="0"/>
        </w:rPr>
        <w:t xml:space="preserve">Gottfried, I., Schottlender, N. and Ashery, U., 2021. Hyperbaric oxygen treatment—from mechanisms to cognitive improvement. </w:t>
      </w:r>
      <w:r w:rsidDel="00000000" w:rsidR="00000000" w:rsidRPr="00000000">
        <w:rPr>
          <w:i w:val="1"/>
          <w:rtl w:val="0"/>
        </w:rPr>
        <w:t xml:space="preserve">Biomolecules</w:t>
      </w:r>
      <w:r w:rsidDel="00000000" w:rsidR="00000000" w:rsidRPr="00000000">
        <w:rPr>
          <w:rtl w:val="0"/>
        </w:rPr>
        <w:t xml:space="preserve">, 11(10), 1520. </w:t>
      </w:r>
      <w:hyperlink r:id="rId104">
        <w:r w:rsidDel="00000000" w:rsidR="00000000" w:rsidRPr="00000000">
          <w:rPr>
            <w:color w:val="0000ff"/>
            <w:u w:val="single"/>
            <w:rtl w:val="0"/>
          </w:rPr>
          <w:t xml:space="preserve">https://doi.org/10.3390/biom11101520</w:t>
        </w:r>
      </w:hyperlink>
      <w:r w:rsidDel="00000000" w:rsidR="00000000" w:rsidRPr="00000000">
        <w:rPr>
          <w:rtl w:val="0"/>
        </w:rPr>
      </w:r>
    </w:p>
    <w:p w:rsidR="00000000" w:rsidDel="00000000" w:rsidP="00000000" w:rsidRDefault="00000000" w:rsidRPr="00000000" w14:paraId="000017A0">
      <w:pPr>
        <w:spacing w:after="280" w:before="280" w:lineRule="auto"/>
        <w:jc w:val="both"/>
        <w:rPr/>
      </w:pPr>
      <w:r w:rsidDel="00000000" w:rsidR="00000000" w:rsidRPr="00000000">
        <w:rPr>
          <w:rtl w:val="0"/>
        </w:rPr>
        <w:t xml:space="preserve">Grazioso, T.P. and Djouder, N., 2023. The forgotten art of cold therapeutic properties in cancer: A comprehensive historical guide. </w:t>
      </w:r>
      <w:r w:rsidDel="00000000" w:rsidR="00000000" w:rsidRPr="00000000">
        <w:rPr>
          <w:i w:val="1"/>
          <w:rtl w:val="0"/>
        </w:rPr>
        <w:t xml:space="preserve">iScience</w:t>
      </w:r>
      <w:r w:rsidDel="00000000" w:rsidR="00000000" w:rsidRPr="00000000">
        <w:rPr>
          <w:rtl w:val="0"/>
        </w:rPr>
        <w:t xml:space="preserve">, 26(7), 107010. </w:t>
      </w:r>
      <w:hyperlink r:id="rId105">
        <w:r w:rsidDel="00000000" w:rsidR="00000000" w:rsidRPr="00000000">
          <w:rPr>
            <w:color w:val="0000ff"/>
            <w:u w:val="single"/>
            <w:rtl w:val="0"/>
          </w:rPr>
          <w:t xml:space="preserve">https://doi.org/10.1016/j.isci.2023.107010</w:t>
        </w:r>
      </w:hyperlink>
      <w:r w:rsidDel="00000000" w:rsidR="00000000" w:rsidRPr="00000000">
        <w:rPr>
          <w:rtl w:val="0"/>
        </w:rPr>
      </w:r>
    </w:p>
    <w:p w:rsidR="00000000" w:rsidDel="00000000" w:rsidP="00000000" w:rsidRDefault="00000000" w:rsidRPr="00000000" w14:paraId="000017A1">
      <w:pPr>
        <w:spacing w:after="280" w:before="280" w:lineRule="auto"/>
        <w:jc w:val="both"/>
        <w:rPr/>
      </w:pPr>
      <w:r w:rsidDel="00000000" w:rsidR="00000000" w:rsidRPr="00000000">
        <w:rPr>
          <w:rtl w:val="0"/>
        </w:rPr>
        <w:t xml:space="preserve">Gupta, M. and Rathored, J., 2024. Hyperbaric oxygen therapy: Future prospects in regenerative therapy and anti-aging. </w:t>
      </w:r>
      <w:r w:rsidDel="00000000" w:rsidR="00000000" w:rsidRPr="00000000">
        <w:rPr>
          <w:i w:val="1"/>
          <w:rtl w:val="0"/>
        </w:rPr>
        <w:t xml:space="preserve">Frontiers in Aging</w:t>
      </w:r>
      <w:r w:rsidDel="00000000" w:rsidR="00000000" w:rsidRPr="00000000">
        <w:rPr>
          <w:rtl w:val="0"/>
        </w:rPr>
        <w:t xml:space="preserve">, 5, 1368982. </w:t>
      </w:r>
      <w:hyperlink r:id="rId106">
        <w:r w:rsidDel="00000000" w:rsidR="00000000" w:rsidRPr="00000000">
          <w:rPr>
            <w:color w:val="0000ff"/>
            <w:u w:val="single"/>
            <w:rtl w:val="0"/>
          </w:rPr>
          <w:t xml:space="preserve">https://doi.org/10.3389/fragi.2024.1368982</w:t>
        </w:r>
      </w:hyperlink>
      <w:r w:rsidDel="00000000" w:rsidR="00000000" w:rsidRPr="00000000">
        <w:rPr>
          <w:rtl w:val="0"/>
        </w:rPr>
      </w:r>
    </w:p>
    <w:p w:rsidR="00000000" w:rsidDel="00000000" w:rsidP="00000000" w:rsidRDefault="00000000" w:rsidRPr="00000000" w14:paraId="000017A2">
      <w:pPr>
        <w:spacing w:after="280" w:before="280" w:lineRule="auto"/>
        <w:jc w:val="both"/>
        <w:rPr/>
      </w:pPr>
      <w:r w:rsidDel="00000000" w:rsidR="00000000" w:rsidRPr="00000000">
        <w:rPr>
          <w:rtl w:val="0"/>
        </w:rPr>
        <w:t xml:space="preserve">Gupta, M. and Rathored, J., 2024. Hyperbaric oxygen therapy: Future prospects in regenerative therapy and anti-aging. </w:t>
      </w:r>
      <w:r w:rsidDel="00000000" w:rsidR="00000000" w:rsidRPr="00000000">
        <w:rPr>
          <w:i w:val="1"/>
          <w:rtl w:val="0"/>
        </w:rPr>
        <w:t xml:space="preserve">Frontiers in Aging</w:t>
      </w:r>
      <w:r w:rsidDel="00000000" w:rsidR="00000000" w:rsidRPr="00000000">
        <w:rPr>
          <w:rtl w:val="0"/>
        </w:rPr>
        <w:t xml:space="preserve">, 5. </w:t>
      </w:r>
      <w:hyperlink r:id="rId107">
        <w:r w:rsidDel="00000000" w:rsidR="00000000" w:rsidRPr="00000000">
          <w:rPr>
            <w:color w:val="0000ff"/>
            <w:u w:val="single"/>
            <w:rtl w:val="0"/>
          </w:rPr>
          <w:t xml:space="preserve">https://doi.org/10.3389/fragi.2024.1368982</w:t>
        </w:r>
      </w:hyperlink>
      <w:r w:rsidDel="00000000" w:rsidR="00000000" w:rsidRPr="00000000">
        <w:rPr>
          <w:rtl w:val="0"/>
        </w:rPr>
      </w:r>
    </w:p>
    <w:p w:rsidR="00000000" w:rsidDel="00000000" w:rsidP="00000000" w:rsidRDefault="00000000" w:rsidRPr="00000000" w14:paraId="000017A3">
      <w:pPr>
        <w:spacing w:after="280" w:before="280" w:lineRule="auto"/>
        <w:jc w:val="both"/>
        <w:rPr/>
      </w:pPr>
      <w:r w:rsidDel="00000000" w:rsidR="00000000" w:rsidRPr="00000000">
        <w:rPr>
          <w:rtl w:val="0"/>
        </w:rPr>
        <w:t xml:space="preserve">Habib, M.A. and Manik, M.M.H., 2025. ShaEr: A blockchain-based framework for secure medical data sharing and monetisation. </w:t>
      </w:r>
      <w:r w:rsidDel="00000000" w:rsidR="00000000" w:rsidRPr="00000000">
        <w:rPr>
          <w:i w:val="1"/>
          <w:rtl w:val="0"/>
        </w:rPr>
        <w:t xml:space="preserve">IET Blockchain</w:t>
      </w:r>
      <w:r w:rsidDel="00000000" w:rsidR="00000000" w:rsidRPr="00000000">
        <w:rPr>
          <w:rtl w:val="0"/>
        </w:rPr>
        <w:t xml:space="preserve">, 5, e70008. </w:t>
      </w:r>
      <w:hyperlink r:id="rId108">
        <w:r w:rsidDel="00000000" w:rsidR="00000000" w:rsidRPr="00000000">
          <w:rPr>
            <w:color w:val="0000ff"/>
            <w:u w:val="single"/>
            <w:rtl w:val="0"/>
          </w:rPr>
          <w:t xml:space="preserve">https://doi.org/10.1049/blc2.70008</w:t>
        </w:r>
      </w:hyperlink>
      <w:r w:rsidDel="00000000" w:rsidR="00000000" w:rsidRPr="00000000">
        <w:rPr>
          <w:rtl w:val="0"/>
        </w:rPr>
      </w:r>
    </w:p>
    <w:p w:rsidR="00000000" w:rsidDel="00000000" w:rsidP="00000000" w:rsidRDefault="00000000" w:rsidRPr="00000000" w14:paraId="000017A4">
      <w:pPr>
        <w:spacing w:after="280" w:before="280" w:lineRule="auto"/>
        <w:jc w:val="both"/>
        <w:rPr/>
      </w:pPr>
      <w:r w:rsidDel="00000000" w:rsidR="00000000" w:rsidRPr="00000000">
        <w:rPr>
          <w:rtl w:val="0"/>
        </w:rPr>
        <w:t xml:space="preserve">Hair, J.F., Hult, G.T.M., Ringle, C.M. and Sarstedt, M., 2022. </w:t>
      </w:r>
      <w:r w:rsidDel="00000000" w:rsidR="00000000" w:rsidRPr="00000000">
        <w:rPr>
          <w:i w:val="1"/>
          <w:rtl w:val="0"/>
        </w:rPr>
        <w:t xml:space="preserve">A primer on partial least squares structural equation modeling (PLS-SEM)</w:t>
      </w:r>
      <w:r w:rsidDel="00000000" w:rsidR="00000000" w:rsidRPr="00000000">
        <w:rPr>
          <w:rtl w:val="0"/>
        </w:rPr>
        <w:t xml:space="preserve">. 3rd ed. Thousand Oaks, CA: Sage.</w:t>
      </w:r>
    </w:p>
    <w:p w:rsidR="00000000" w:rsidDel="00000000" w:rsidP="00000000" w:rsidRDefault="00000000" w:rsidRPr="00000000" w14:paraId="000017A5">
      <w:pPr>
        <w:spacing w:after="280" w:before="280" w:lineRule="auto"/>
        <w:jc w:val="both"/>
        <w:rPr/>
      </w:pPr>
      <w:r w:rsidDel="00000000" w:rsidR="00000000" w:rsidRPr="00000000">
        <w:rPr>
          <w:rtl w:val="0"/>
        </w:rPr>
        <w:t xml:space="preserve">Hair, J.F., Jr., Matthews, L.M., Matthews, R.L. and Sarstedt, M., 2017. PLS-SEM or CB-SEM: Updated guidelines on which method to use. </w:t>
      </w:r>
      <w:r w:rsidDel="00000000" w:rsidR="00000000" w:rsidRPr="00000000">
        <w:rPr>
          <w:i w:val="1"/>
          <w:rtl w:val="0"/>
        </w:rPr>
        <w:t xml:space="preserve">International Journal of Multivariate Data Analysis</w:t>
      </w:r>
      <w:r w:rsidDel="00000000" w:rsidR="00000000" w:rsidRPr="00000000">
        <w:rPr>
          <w:rtl w:val="0"/>
        </w:rPr>
        <w:t xml:space="preserve">, 1(2), pp.107–123.</w:t>
      </w:r>
    </w:p>
    <w:p w:rsidR="00000000" w:rsidDel="00000000" w:rsidP="00000000" w:rsidRDefault="00000000" w:rsidRPr="00000000" w14:paraId="000017A6">
      <w:pPr>
        <w:spacing w:after="280" w:before="280" w:lineRule="auto"/>
        <w:jc w:val="both"/>
        <w:rPr/>
      </w:pPr>
      <w:r w:rsidDel="00000000" w:rsidR="00000000" w:rsidRPr="00000000">
        <w:rPr>
          <w:rtl w:val="0"/>
        </w:rPr>
        <w:t xml:space="preserve">Hair, J.F., Risher, J.J., Sarstedt, M. and Ringle, C.M., 2019. When to use and how to report the results of PLS-SEM. </w:t>
      </w:r>
      <w:r w:rsidDel="00000000" w:rsidR="00000000" w:rsidRPr="00000000">
        <w:rPr>
          <w:i w:val="1"/>
          <w:rtl w:val="0"/>
        </w:rPr>
        <w:t xml:space="preserve">European Business Review</w:t>
      </w:r>
      <w:r w:rsidDel="00000000" w:rsidR="00000000" w:rsidRPr="00000000">
        <w:rPr>
          <w:rtl w:val="0"/>
        </w:rPr>
        <w:t xml:space="preserve">, 31(1), pp.2–24. </w:t>
      </w:r>
      <w:hyperlink r:id="rId109">
        <w:r w:rsidDel="00000000" w:rsidR="00000000" w:rsidRPr="00000000">
          <w:rPr>
            <w:color w:val="0000ff"/>
            <w:u w:val="single"/>
            <w:rtl w:val="0"/>
          </w:rPr>
          <w:t xml:space="preserve">https://doi.org/10.1108/EBR-11-2018-0203</w:t>
        </w:r>
      </w:hyperlink>
      <w:r w:rsidDel="00000000" w:rsidR="00000000" w:rsidRPr="00000000">
        <w:rPr>
          <w:rtl w:val="0"/>
        </w:rPr>
      </w:r>
    </w:p>
    <w:p w:rsidR="00000000" w:rsidDel="00000000" w:rsidP="00000000" w:rsidRDefault="00000000" w:rsidRPr="00000000" w14:paraId="000017A7">
      <w:pPr>
        <w:spacing w:after="280" w:before="280" w:lineRule="auto"/>
        <w:jc w:val="both"/>
        <w:rPr/>
      </w:pPr>
      <w:r w:rsidDel="00000000" w:rsidR="00000000" w:rsidRPr="00000000">
        <w:rPr>
          <w:rtl w:val="0"/>
        </w:rPr>
        <w:t xml:space="preserve">Halalmeh, D.R., Salama, H.Z., LeUnes, E., Feitosa, D., Ansari, Y., Sachwani-Daswani, G.R. and Moisi, M.D., 2024. The role of neuropsychology in traumatic brain injury: Comprehensive literature review. </w:t>
      </w:r>
      <w:r w:rsidDel="00000000" w:rsidR="00000000" w:rsidRPr="00000000">
        <w:rPr>
          <w:i w:val="1"/>
          <w:rtl w:val="0"/>
        </w:rPr>
        <w:t xml:space="preserve">World Neurosurgery</w:t>
      </w:r>
      <w:r w:rsidDel="00000000" w:rsidR="00000000" w:rsidRPr="00000000">
        <w:rPr>
          <w:rtl w:val="0"/>
        </w:rPr>
        <w:t xml:space="preserve">, 183, pp.128–143. </w:t>
      </w:r>
      <w:hyperlink r:id="rId110">
        <w:r w:rsidDel="00000000" w:rsidR="00000000" w:rsidRPr="00000000">
          <w:rPr>
            <w:color w:val="0000ff"/>
            <w:u w:val="single"/>
            <w:rtl w:val="0"/>
          </w:rPr>
          <w:t xml:space="preserve">https://doi.org/10.1016/j.wneu.2023.12.069</w:t>
        </w:r>
      </w:hyperlink>
      <w:r w:rsidDel="00000000" w:rsidR="00000000" w:rsidRPr="00000000">
        <w:rPr>
          <w:rtl w:val="0"/>
        </w:rPr>
      </w:r>
    </w:p>
    <w:p w:rsidR="00000000" w:rsidDel="00000000" w:rsidP="00000000" w:rsidRDefault="00000000" w:rsidRPr="00000000" w14:paraId="000017A8">
      <w:pPr>
        <w:spacing w:after="280" w:before="280" w:lineRule="auto"/>
        <w:jc w:val="both"/>
        <w:rPr/>
      </w:pPr>
      <w:r w:rsidDel="00000000" w:rsidR="00000000" w:rsidRPr="00000000">
        <w:rPr>
          <w:rtl w:val="0"/>
        </w:rPr>
        <w:t xml:space="preserve">Haleem, A., Javaid, M., Singh, R.P. and Suman, R., 2021. Telemedicine for healthcare: Capabilities, features, barriers, and applications. </w:t>
      </w:r>
      <w:r w:rsidDel="00000000" w:rsidR="00000000" w:rsidRPr="00000000">
        <w:rPr>
          <w:i w:val="1"/>
          <w:rtl w:val="0"/>
        </w:rPr>
        <w:t xml:space="preserve">Sensors International</w:t>
      </w:r>
      <w:r w:rsidDel="00000000" w:rsidR="00000000" w:rsidRPr="00000000">
        <w:rPr>
          <w:rtl w:val="0"/>
        </w:rPr>
        <w:t xml:space="preserve">, 2, 100117. </w:t>
      </w:r>
      <w:hyperlink r:id="rId111">
        <w:r w:rsidDel="00000000" w:rsidR="00000000" w:rsidRPr="00000000">
          <w:rPr>
            <w:color w:val="0000ff"/>
            <w:u w:val="single"/>
            <w:rtl w:val="0"/>
          </w:rPr>
          <w:t xml:space="preserve">https://doi.org/10.1016/j.sintl.2021.100117</w:t>
        </w:r>
      </w:hyperlink>
      <w:r w:rsidDel="00000000" w:rsidR="00000000" w:rsidRPr="00000000">
        <w:rPr>
          <w:rtl w:val="0"/>
        </w:rPr>
      </w:r>
    </w:p>
    <w:p w:rsidR="00000000" w:rsidDel="00000000" w:rsidP="00000000" w:rsidRDefault="00000000" w:rsidRPr="00000000" w14:paraId="000017A9">
      <w:pPr>
        <w:spacing w:after="280" w:before="280" w:lineRule="auto"/>
        <w:jc w:val="both"/>
        <w:rPr/>
      </w:pPr>
      <w:r w:rsidDel="00000000" w:rsidR="00000000" w:rsidRPr="00000000">
        <w:rPr>
          <w:rtl w:val="0"/>
        </w:rPr>
        <w:t xml:space="preserve">Haleem, A., Javaid, M., Singh, R.P. and Suman, R., 2022. Medical 4.0 technologies for healthcare: Features, capabilities, and applications. </w:t>
      </w:r>
      <w:r w:rsidDel="00000000" w:rsidR="00000000" w:rsidRPr="00000000">
        <w:rPr>
          <w:i w:val="1"/>
          <w:rtl w:val="0"/>
        </w:rPr>
        <w:t xml:space="preserve">Internet of Things and Cyber-Physical Systems</w:t>
      </w:r>
      <w:r w:rsidDel="00000000" w:rsidR="00000000" w:rsidRPr="00000000">
        <w:rPr>
          <w:rtl w:val="0"/>
        </w:rPr>
        <w:t xml:space="preserve">, 2, pp.12–30. </w:t>
      </w:r>
      <w:hyperlink r:id="rId112">
        <w:r w:rsidDel="00000000" w:rsidR="00000000" w:rsidRPr="00000000">
          <w:rPr>
            <w:color w:val="0000ff"/>
            <w:u w:val="single"/>
            <w:rtl w:val="0"/>
          </w:rPr>
          <w:t xml:space="preserve">https://doi.org/10.1016/j.iotcps.2022.04.001</w:t>
        </w:r>
      </w:hyperlink>
      <w:r w:rsidDel="00000000" w:rsidR="00000000" w:rsidRPr="00000000">
        <w:rPr>
          <w:rtl w:val="0"/>
        </w:rPr>
      </w:r>
    </w:p>
    <w:p w:rsidR="00000000" w:rsidDel="00000000" w:rsidP="00000000" w:rsidRDefault="00000000" w:rsidRPr="00000000" w14:paraId="000017AA">
      <w:pPr>
        <w:spacing w:after="280" w:before="280" w:lineRule="auto"/>
        <w:jc w:val="both"/>
        <w:rPr/>
      </w:pPr>
      <w:r w:rsidDel="00000000" w:rsidR="00000000" w:rsidRPr="00000000">
        <w:rPr>
          <w:rtl w:val="0"/>
        </w:rPr>
        <w:t xml:space="preserve">Haleem, A., Javaid, M., Singh, R.P., Suman, R. and Rab, S., 2021. Blockchain technology applications in healthcare: An overview. </w:t>
      </w:r>
      <w:r w:rsidDel="00000000" w:rsidR="00000000" w:rsidRPr="00000000">
        <w:rPr>
          <w:i w:val="1"/>
          <w:rtl w:val="0"/>
        </w:rPr>
        <w:t xml:space="preserve">International Journal of Intelligent Networks</w:t>
      </w:r>
      <w:r w:rsidDel="00000000" w:rsidR="00000000" w:rsidRPr="00000000">
        <w:rPr>
          <w:rtl w:val="0"/>
        </w:rPr>
        <w:t xml:space="preserve">, 2, pp.130–139. </w:t>
      </w:r>
      <w:hyperlink r:id="rId113">
        <w:r w:rsidDel="00000000" w:rsidR="00000000" w:rsidRPr="00000000">
          <w:rPr>
            <w:color w:val="0000ff"/>
            <w:u w:val="single"/>
            <w:rtl w:val="0"/>
          </w:rPr>
          <w:t xml:space="preserve">https://doi.org/10.1016/j.ijin.2021.09.005</w:t>
        </w:r>
      </w:hyperlink>
      <w:r w:rsidDel="00000000" w:rsidR="00000000" w:rsidRPr="00000000">
        <w:rPr>
          <w:rtl w:val="0"/>
        </w:rPr>
      </w:r>
    </w:p>
    <w:p w:rsidR="00000000" w:rsidDel="00000000" w:rsidP="00000000" w:rsidRDefault="00000000" w:rsidRPr="00000000" w14:paraId="000017AB">
      <w:pPr>
        <w:spacing w:after="280" w:before="280" w:lineRule="auto"/>
        <w:jc w:val="both"/>
        <w:rPr/>
      </w:pPr>
      <w:r w:rsidDel="00000000" w:rsidR="00000000" w:rsidRPr="00000000">
        <w:rPr>
          <w:rtl w:val="0"/>
        </w:rPr>
        <w:t xml:space="preserve">Hamblin, M.R., 2017. Mechanisms and applications of the anti-inflammatory effects of photobiomodulation. </w:t>
      </w:r>
      <w:r w:rsidDel="00000000" w:rsidR="00000000" w:rsidRPr="00000000">
        <w:rPr>
          <w:i w:val="1"/>
          <w:rtl w:val="0"/>
        </w:rPr>
        <w:t xml:space="preserve">AIMS Biophysics</w:t>
      </w:r>
      <w:r w:rsidDel="00000000" w:rsidR="00000000" w:rsidRPr="00000000">
        <w:rPr>
          <w:rtl w:val="0"/>
        </w:rPr>
        <w:t xml:space="preserve">, 4(3), pp.337–361. </w:t>
      </w:r>
      <w:hyperlink r:id="rId114">
        <w:r w:rsidDel="00000000" w:rsidR="00000000" w:rsidRPr="00000000">
          <w:rPr>
            <w:color w:val="0000ff"/>
            <w:u w:val="single"/>
            <w:rtl w:val="0"/>
          </w:rPr>
          <w:t xml:space="preserve">https://doi.org/10.3934/biophy.2017.3.337</w:t>
        </w:r>
      </w:hyperlink>
      <w:r w:rsidDel="00000000" w:rsidR="00000000" w:rsidRPr="00000000">
        <w:rPr>
          <w:rtl w:val="0"/>
        </w:rPr>
      </w:r>
    </w:p>
    <w:p w:rsidR="00000000" w:rsidDel="00000000" w:rsidP="00000000" w:rsidRDefault="00000000" w:rsidRPr="00000000" w14:paraId="000017AC">
      <w:pPr>
        <w:spacing w:after="280" w:before="280" w:lineRule="auto"/>
        <w:jc w:val="both"/>
        <w:rPr/>
      </w:pPr>
      <w:r w:rsidDel="00000000" w:rsidR="00000000" w:rsidRPr="00000000">
        <w:rPr>
          <w:rtl w:val="0"/>
        </w:rPr>
        <w:t xml:space="preserve">Hanna, M.G., Pantanowitz, L., Jackson, B., Palmer, O., Visweswaran, S., Pantanowitz, J., Deebajah, M. and Rashidi, H.H., 2025. Ethical and bias considerations in artificial intelligence/machine learning. </w:t>
      </w:r>
      <w:r w:rsidDel="00000000" w:rsidR="00000000" w:rsidRPr="00000000">
        <w:rPr>
          <w:i w:val="1"/>
          <w:rtl w:val="0"/>
        </w:rPr>
        <w:t xml:space="preserve">Modern Pathology</w:t>
      </w:r>
      <w:r w:rsidDel="00000000" w:rsidR="00000000" w:rsidRPr="00000000">
        <w:rPr>
          <w:rtl w:val="0"/>
        </w:rPr>
        <w:t xml:space="preserve">, 38(3), 100686. </w:t>
      </w:r>
      <w:hyperlink r:id="rId115">
        <w:r w:rsidDel="00000000" w:rsidR="00000000" w:rsidRPr="00000000">
          <w:rPr>
            <w:color w:val="0000ff"/>
            <w:u w:val="single"/>
            <w:rtl w:val="0"/>
          </w:rPr>
          <w:t xml:space="preserve">https://doi.org/10.1016/j.modpat.2024.100686</w:t>
        </w:r>
      </w:hyperlink>
      <w:r w:rsidDel="00000000" w:rsidR="00000000" w:rsidRPr="00000000">
        <w:rPr>
          <w:rtl w:val="0"/>
        </w:rPr>
      </w:r>
    </w:p>
    <w:p w:rsidR="00000000" w:rsidDel="00000000" w:rsidP="00000000" w:rsidRDefault="00000000" w:rsidRPr="00000000" w14:paraId="000017AD">
      <w:pPr>
        <w:spacing w:after="280" w:before="280" w:lineRule="auto"/>
        <w:jc w:val="both"/>
        <w:rPr/>
      </w:pPr>
      <w:r w:rsidDel="00000000" w:rsidR="00000000" w:rsidRPr="00000000">
        <w:rPr>
          <w:rtl w:val="0"/>
        </w:rPr>
        <w:t xml:space="preserve">Hassan, I., Murad, M., El-Shekeil, I. and Liu, J., 2022. Extending the UTAUT2 model with a privacy calculus model to enhance the adoption of a health information application in Malaysia. </w:t>
      </w:r>
      <w:r w:rsidDel="00000000" w:rsidR="00000000" w:rsidRPr="00000000">
        <w:rPr>
          <w:i w:val="1"/>
          <w:rtl w:val="0"/>
        </w:rPr>
        <w:t xml:space="preserve">Informatics</w:t>
      </w:r>
      <w:r w:rsidDel="00000000" w:rsidR="00000000" w:rsidRPr="00000000">
        <w:rPr>
          <w:rtl w:val="0"/>
        </w:rPr>
        <w:t xml:space="preserve">, 9(2), 31. </w:t>
      </w:r>
      <w:hyperlink r:id="rId116">
        <w:r w:rsidDel="00000000" w:rsidR="00000000" w:rsidRPr="00000000">
          <w:rPr>
            <w:color w:val="0000ff"/>
            <w:u w:val="single"/>
            <w:rtl w:val="0"/>
          </w:rPr>
          <w:t xml:space="preserve">https://doi.org/10.3390/informatics9020031</w:t>
        </w:r>
      </w:hyperlink>
      <w:r w:rsidDel="00000000" w:rsidR="00000000" w:rsidRPr="00000000">
        <w:rPr>
          <w:rtl w:val="0"/>
        </w:rPr>
      </w:r>
    </w:p>
    <w:p w:rsidR="00000000" w:rsidDel="00000000" w:rsidP="00000000" w:rsidRDefault="00000000" w:rsidRPr="00000000" w14:paraId="000017AE">
      <w:pPr>
        <w:spacing w:after="280" w:before="280" w:lineRule="auto"/>
        <w:jc w:val="both"/>
        <w:rPr/>
      </w:pPr>
      <w:r w:rsidDel="00000000" w:rsidR="00000000" w:rsidRPr="00000000">
        <w:rPr>
          <w:rtl w:val="0"/>
        </w:rPr>
        <w:t xml:space="preserve">Hazra, S. and Bora, K.S., 2025. Capitalization of digital healthcare: The cornerstone of emerging medical practices. </w:t>
      </w:r>
      <w:r w:rsidDel="00000000" w:rsidR="00000000" w:rsidRPr="00000000">
        <w:rPr>
          <w:i w:val="1"/>
          <w:rtl w:val="0"/>
        </w:rPr>
        <w:t xml:space="preserve">Intelligent Pharmacy</w:t>
      </w:r>
      <w:r w:rsidDel="00000000" w:rsidR="00000000" w:rsidRPr="00000000">
        <w:rPr>
          <w:rtl w:val="0"/>
        </w:rPr>
        <w:t xml:space="preserve">. </w:t>
      </w:r>
      <w:hyperlink r:id="rId117">
        <w:r w:rsidDel="00000000" w:rsidR="00000000" w:rsidRPr="00000000">
          <w:rPr>
            <w:color w:val="0000ff"/>
            <w:u w:val="single"/>
            <w:rtl w:val="0"/>
          </w:rPr>
          <w:t xml:space="preserve">https://doi.org/10.1016/j.ipha.2024.12.002</w:t>
        </w:r>
      </w:hyperlink>
      <w:r w:rsidDel="00000000" w:rsidR="00000000" w:rsidRPr="00000000">
        <w:rPr>
          <w:rtl w:val="0"/>
        </w:rPr>
      </w:r>
    </w:p>
    <w:p w:rsidR="00000000" w:rsidDel="00000000" w:rsidP="00000000" w:rsidRDefault="00000000" w:rsidRPr="00000000" w14:paraId="000017AF">
      <w:pPr>
        <w:spacing w:after="280" w:before="280" w:lineRule="auto"/>
        <w:jc w:val="both"/>
        <w:rPr/>
      </w:pPr>
      <w:r w:rsidDel="00000000" w:rsidR="00000000" w:rsidRPr="00000000">
        <w:rPr>
          <w:rtl w:val="0"/>
        </w:rPr>
        <w:t xml:space="preserve">Hernández-Bule, M.L., Naharro-Rodríguez, J., Bacci, S. and Fernández-Guarino, M., 2024. Unlocking the power of light on the skin: A comprehensive review on photobiomodulation. </w:t>
      </w:r>
      <w:r w:rsidDel="00000000" w:rsidR="00000000" w:rsidRPr="00000000">
        <w:rPr>
          <w:i w:val="1"/>
          <w:rtl w:val="0"/>
        </w:rPr>
        <w:t xml:space="preserve">International Journal of Molecular Sciences</w:t>
      </w:r>
      <w:r w:rsidDel="00000000" w:rsidR="00000000" w:rsidRPr="00000000">
        <w:rPr>
          <w:rtl w:val="0"/>
        </w:rPr>
        <w:t xml:space="preserve">, 25(8), 4483. </w:t>
      </w:r>
      <w:hyperlink r:id="rId118">
        <w:r w:rsidDel="00000000" w:rsidR="00000000" w:rsidRPr="00000000">
          <w:rPr>
            <w:color w:val="0000ff"/>
            <w:u w:val="single"/>
            <w:rtl w:val="0"/>
          </w:rPr>
          <w:t xml:space="preserve">https://doi.org/10.3390/ijms25084483</w:t>
        </w:r>
      </w:hyperlink>
      <w:r w:rsidDel="00000000" w:rsidR="00000000" w:rsidRPr="00000000">
        <w:rPr>
          <w:rtl w:val="0"/>
        </w:rPr>
      </w:r>
    </w:p>
    <w:p w:rsidR="00000000" w:rsidDel="00000000" w:rsidP="00000000" w:rsidRDefault="00000000" w:rsidRPr="00000000" w14:paraId="000017B0">
      <w:pPr>
        <w:spacing w:after="280" w:before="280" w:lineRule="auto"/>
        <w:jc w:val="both"/>
        <w:rPr/>
      </w:pPr>
      <w:r w:rsidDel="00000000" w:rsidR="00000000" w:rsidRPr="00000000">
        <w:rPr>
          <w:rtl w:val="0"/>
        </w:rPr>
        <w:t xml:space="preserve">Hernández-Bule, M.L., Naharro-Rodríguez, J., Bacci, S. and Fernández-Guarino, M., 2024. Unlocking the power of light on the skin: A comprehensive review on photobiomodulation. </w:t>
      </w:r>
      <w:r w:rsidDel="00000000" w:rsidR="00000000" w:rsidRPr="00000000">
        <w:rPr>
          <w:i w:val="1"/>
          <w:rtl w:val="0"/>
        </w:rPr>
        <w:t xml:space="preserve">International Journal of Molecular Sciences</w:t>
      </w:r>
      <w:r w:rsidDel="00000000" w:rsidR="00000000" w:rsidRPr="00000000">
        <w:rPr>
          <w:rtl w:val="0"/>
        </w:rPr>
        <w:t xml:space="preserve">, 25(8), 4483. </w:t>
      </w:r>
      <w:hyperlink r:id="rId119">
        <w:r w:rsidDel="00000000" w:rsidR="00000000" w:rsidRPr="00000000">
          <w:rPr>
            <w:color w:val="0000ff"/>
            <w:u w:val="single"/>
            <w:rtl w:val="0"/>
          </w:rPr>
          <w:t xml:space="preserve">https://doi.org/10.3390/ijms25084483</w:t>
        </w:r>
      </w:hyperlink>
      <w:r w:rsidDel="00000000" w:rsidR="00000000" w:rsidRPr="00000000">
        <w:rPr>
          <w:rtl w:val="0"/>
        </w:rPr>
      </w:r>
    </w:p>
    <w:p w:rsidR="00000000" w:rsidDel="00000000" w:rsidP="00000000" w:rsidRDefault="00000000" w:rsidRPr="00000000" w14:paraId="000017B1">
      <w:pPr>
        <w:spacing w:after="280" w:before="280" w:lineRule="auto"/>
        <w:jc w:val="both"/>
        <w:rPr/>
      </w:pPr>
      <w:r w:rsidDel="00000000" w:rsidR="00000000" w:rsidRPr="00000000">
        <w:rPr>
          <w:rtl w:val="0"/>
        </w:rPr>
        <w:t xml:space="preserve">Heyboer, M., Sharma, D., Santiago, W. and McCulloch, N., 2017. Hyperbaric oxygen therapy: Side effects defined and quantified. </w:t>
      </w:r>
      <w:r w:rsidDel="00000000" w:rsidR="00000000" w:rsidRPr="00000000">
        <w:rPr>
          <w:i w:val="1"/>
          <w:rtl w:val="0"/>
        </w:rPr>
        <w:t xml:space="preserve">Advances in Wound Care</w:t>
      </w:r>
      <w:r w:rsidDel="00000000" w:rsidR="00000000" w:rsidRPr="00000000">
        <w:rPr>
          <w:rtl w:val="0"/>
        </w:rPr>
        <w:t xml:space="preserve">, 6(6), pp.210–224. </w:t>
      </w:r>
      <w:hyperlink r:id="rId120">
        <w:r w:rsidDel="00000000" w:rsidR="00000000" w:rsidRPr="00000000">
          <w:rPr>
            <w:color w:val="0000ff"/>
            <w:u w:val="single"/>
            <w:rtl w:val="0"/>
          </w:rPr>
          <w:t xml:space="preserve">https://doi.org/10.1089/wound.2016.0718</w:t>
        </w:r>
      </w:hyperlink>
      <w:r w:rsidDel="00000000" w:rsidR="00000000" w:rsidRPr="00000000">
        <w:rPr>
          <w:rtl w:val="0"/>
        </w:rPr>
      </w:r>
    </w:p>
    <w:p w:rsidR="00000000" w:rsidDel="00000000" w:rsidP="00000000" w:rsidRDefault="00000000" w:rsidRPr="00000000" w14:paraId="000017B2">
      <w:pPr>
        <w:spacing w:after="280" w:before="280" w:lineRule="auto"/>
        <w:jc w:val="both"/>
        <w:rPr/>
      </w:pPr>
      <w:r w:rsidDel="00000000" w:rsidR="00000000" w:rsidRPr="00000000">
        <w:rPr>
          <w:rtl w:val="0"/>
        </w:rPr>
        <w:t xml:space="preserve">Hirunyawipada, T. and Paswan, A.K., 2006. Consumer innovativeness and perceived risk: Implications for high technology product adoption. </w:t>
      </w:r>
      <w:r w:rsidDel="00000000" w:rsidR="00000000" w:rsidRPr="00000000">
        <w:rPr>
          <w:i w:val="1"/>
          <w:rtl w:val="0"/>
        </w:rPr>
        <w:t xml:space="preserve">Journal of Consumer Marketing</w:t>
      </w:r>
      <w:r w:rsidDel="00000000" w:rsidR="00000000" w:rsidRPr="00000000">
        <w:rPr>
          <w:rtl w:val="0"/>
        </w:rPr>
        <w:t xml:space="preserve">, 23(4), pp.182–198. </w:t>
      </w:r>
      <w:hyperlink r:id="rId121">
        <w:r w:rsidDel="00000000" w:rsidR="00000000" w:rsidRPr="00000000">
          <w:rPr>
            <w:color w:val="0000ff"/>
            <w:u w:val="single"/>
            <w:rtl w:val="0"/>
          </w:rPr>
          <w:t xml:space="preserve">https://doi.org/10.1108/07363760610674310</w:t>
        </w:r>
      </w:hyperlink>
      <w:r w:rsidDel="00000000" w:rsidR="00000000" w:rsidRPr="00000000">
        <w:rPr>
          <w:rtl w:val="0"/>
        </w:rPr>
      </w:r>
    </w:p>
    <w:p w:rsidR="00000000" w:rsidDel="00000000" w:rsidP="00000000" w:rsidRDefault="00000000" w:rsidRPr="00000000" w14:paraId="000017B3">
      <w:pPr>
        <w:spacing w:after="280" w:before="280" w:lineRule="auto"/>
        <w:jc w:val="both"/>
        <w:rPr/>
      </w:pPr>
      <w:r w:rsidDel="00000000" w:rsidR="00000000" w:rsidRPr="00000000">
        <w:rPr>
          <w:rtl w:val="0"/>
        </w:rPr>
        <w:t xml:space="preserve">Holden, R.J. and Karsh, B.-T., 2010. The Technology Acceptance Model: Its past and its future in health care. </w:t>
      </w:r>
      <w:r w:rsidDel="00000000" w:rsidR="00000000" w:rsidRPr="00000000">
        <w:rPr>
          <w:i w:val="1"/>
          <w:rtl w:val="0"/>
        </w:rPr>
        <w:t xml:space="preserve">Journal of Biomedical Informatics</w:t>
      </w:r>
      <w:r w:rsidDel="00000000" w:rsidR="00000000" w:rsidRPr="00000000">
        <w:rPr>
          <w:rtl w:val="0"/>
        </w:rPr>
        <w:t xml:space="preserve">, 43(1), pp.159–172. </w:t>
      </w:r>
      <w:hyperlink r:id="rId122">
        <w:r w:rsidDel="00000000" w:rsidR="00000000" w:rsidRPr="00000000">
          <w:rPr>
            <w:color w:val="0000ff"/>
            <w:u w:val="single"/>
            <w:rtl w:val="0"/>
          </w:rPr>
          <w:t xml:space="preserve">https://doi.org/10.1016/j.jbi.2009.07.002</w:t>
        </w:r>
      </w:hyperlink>
      <w:r w:rsidDel="00000000" w:rsidR="00000000" w:rsidRPr="00000000">
        <w:rPr>
          <w:rtl w:val="0"/>
        </w:rPr>
      </w:r>
    </w:p>
    <w:p w:rsidR="00000000" w:rsidDel="00000000" w:rsidP="00000000" w:rsidRDefault="00000000" w:rsidRPr="00000000" w14:paraId="000017B4">
      <w:pPr>
        <w:spacing w:after="280" w:before="280" w:lineRule="auto"/>
        <w:jc w:val="both"/>
        <w:rPr/>
      </w:pPr>
      <w:r w:rsidDel="00000000" w:rsidR="00000000" w:rsidRPr="00000000">
        <w:rPr>
          <w:rtl w:val="0"/>
        </w:rPr>
        <w:t xml:space="preserve">Hoofnagle, C.J., van der Sloot, B. and Borgesius, F.Z., 2019. The European Union General Data Protection Regulation: What it is and what it means. </w:t>
      </w:r>
      <w:r w:rsidDel="00000000" w:rsidR="00000000" w:rsidRPr="00000000">
        <w:rPr>
          <w:i w:val="1"/>
          <w:rtl w:val="0"/>
        </w:rPr>
        <w:t xml:space="preserve">Information &amp; Communications Technology Law</w:t>
      </w:r>
      <w:r w:rsidDel="00000000" w:rsidR="00000000" w:rsidRPr="00000000">
        <w:rPr>
          <w:rtl w:val="0"/>
        </w:rPr>
        <w:t xml:space="preserve">, 28(1), pp.1–34. </w:t>
      </w:r>
      <w:hyperlink r:id="rId123">
        <w:r w:rsidDel="00000000" w:rsidR="00000000" w:rsidRPr="00000000">
          <w:rPr>
            <w:color w:val="0000ff"/>
            <w:u w:val="single"/>
            <w:rtl w:val="0"/>
          </w:rPr>
          <w:t xml:space="preserve">https://doi.org/10.1080/13600834.2019.1573501</w:t>
        </w:r>
      </w:hyperlink>
      <w:r w:rsidDel="00000000" w:rsidR="00000000" w:rsidRPr="00000000">
        <w:rPr>
          <w:rtl w:val="0"/>
        </w:rPr>
      </w:r>
    </w:p>
    <w:p w:rsidR="00000000" w:rsidDel="00000000" w:rsidP="00000000" w:rsidRDefault="00000000" w:rsidRPr="00000000" w14:paraId="000017B5">
      <w:pPr>
        <w:spacing w:after="280" w:before="280" w:lineRule="auto"/>
        <w:jc w:val="both"/>
        <w:rPr/>
      </w:pPr>
      <w:r w:rsidDel="00000000" w:rsidR="00000000" w:rsidRPr="00000000">
        <w:rPr>
          <w:rtl w:val="0"/>
        </w:rPr>
        <w:t xml:space="preserve">Hossain, A., Quaresma, R. and Rahman, H., 2019. Investigating factors influencing the physicians’ adoption of electronic health record (EHR) in healthcare system of Bangladesh: An empirical study. </w:t>
      </w:r>
      <w:r w:rsidDel="00000000" w:rsidR="00000000" w:rsidRPr="00000000">
        <w:rPr>
          <w:i w:val="1"/>
          <w:rtl w:val="0"/>
        </w:rPr>
        <w:t xml:space="preserve">International Journal of Information Management</w:t>
      </w:r>
      <w:r w:rsidDel="00000000" w:rsidR="00000000" w:rsidRPr="00000000">
        <w:rPr>
          <w:rtl w:val="0"/>
        </w:rPr>
        <w:t xml:space="preserve">, 44, pp.76–87. </w:t>
      </w:r>
      <w:hyperlink r:id="rId124">
        <w:r w:rsidDel="00000000" w:rsidR="00000000" w:rsidRPr="00000000">
          <w:rPr>
            <w:color w:val="0000ff"/>
            <w:u w:val="single"/>
            <w:rtl w:val="0"/>
          </w:rPr>
          <w:t xml:space="preserve">https://doi.org/10.1016/j.ijinfomgt.2018.09.016</w:t>
        </w:r>
      </w:hyperlink>
      <w:r w:rsidDel="00000000" w:rsidR="00000000" w:rsidRPr="00000000">
        <w:rPr>
          <w:rtl w:val="0"/>
        </w:rPr>
      </w:r>
    </w:p>
    <w:p w:rsidR="00000000" w:rsidDel="00000000" w:rsidP="00000000" w:rsidRDefault="00000000" w:rsidRPr="00000000" w14:paraId="000017B6">
      <w:pPr>
        <w:spacing w:after="280" w:before="280" w:lineRule="auto"/>
        <w:jc w:val="both"/>
        <w:rPr/>
      </w:pPr>
      <w:r w:rsidDel="00000000" w:rsidR="00000000" w:rsidRPr="00000000">
        <w:rPr>
          <w:rtl w:val="0"/>
        </w:rPr>
        <w:t xml:space="preserve">Huang, C., Wang, J., Wang, S. and Zhang, Y., 2023. Internet of medical things: A systematic review. </w:t>
      </w:r>
      <w:r w:rsidDel="00000000" w:rsidR="00000000" w:rsidRPr="00000000">
        <w:rPr>
          <w:i w:val="1"/>
          <w:rtl w:val="0"/>
        </w:rPr>
        <w:t xml:space="preserve">Neurocomputing</w:t>
      </w:r>
      <w:r w:rsidDel="00000000" w:rsidR="00000000" w:rsidRPr="00000000">
        <w:rPr>
          <w:rtl w:val="0"/>
        </w:rPr>
        <w:t xml:space="preserve">, 557, 126719. </w:t>
      </w:r>
      <w:hyperlink r:id="rId125">
        <w:r w:rsidDel="00000000" w:rsidR="00000000" w:rsidRPr="00000000">
          <w:rPr>
            <w:color w:val="0000ff"/>
            <w:u w:val="single"/>
            <w:rtl w:val="0"/>
          </w:rPr>
          <w:t xml:space="preserve">https://doi.org/10.1016/j.neucom.2023.126719</w:t>
        </w:r>
      </w:hyperlink>
      <w:r w:rsidDel="00000000" w:rsidR="00000000" w:rsidRPr="00000000">
        <w:rPr>
          <w:rtl w:val="0"/>
        </w:rPr>
      </w:r>
    </w:p>
    <w:p w:rsidR="00000000" w:rsidDel="00000000" w:rsidP="00000000" w:rsidRDefault="00000000" w:rsidRPr="00000000" w14:paraId="000017B7">
      <w:pPr>
        <w:spacing w:after="280" w:before="280" w:lineRule="auto"/>
        <w:jc w:val="both"/>
        <w:rPr/>
      </w:pPr>
      <w:r w:rsidDel="00000000" w:rsidR="00000000" w:rsidRPr="00000000">
        <w:rPr>
          <w:rtl w:val="0"/>
        </w:rPr>
        <w:t xml:space="preserve">Huo, C., Song, Z., Yin, J., Zhu, Y., Miao, X., Qian, H., Wang, J., Ye, L. and Zhou, L., 2022. Effect of acute cold exposure on energy metabolism and activity of brown adipose tissue in humans: A systematic review and meta-analysis. </w:t>
      </w:r>
      <w:r w:rsidDel="00000000" w:rsidR="00000000" w:rsidRPr="00000000">
        <w:rPr>
          <w:i w:val="1"/>
          <w:rtl w:val="0"/>
        </w:rPr>
        <w:t xml:space="preserve">Frontiers in Physiology</w:t>
      </w:r>
      <w:r w:rsidDel="00000000" w:rsidR="00000000" w:rsidRPr="00000000">
        <w:rPr>
          <w:rtl w:val="0"/>
        </w:rPr>
        <w:t xml:space="preserve">, 13, 917084. </w:t>
      </w:r>
      <w:hyperlink r:id="rId126">
        <w:r w:rsidDel="00000000" w:rsidR="00000000" w:rsidRPr="00000000">
          <w:rPr>
            <w:color w:val="0000ff"/>
            <w:u w:val="single"/>
            <w:rtl w:val="0"/>
          </w:rPr>
          <w:t xml:space="preserve">https://doi.org/10.3389/fphys.2022.917084</w:t>
        </w:r>
      </w:hyperlink>
      <w:r w:rsidDel="00000000" w:rsidR="00000000" w:rsidRPr="00000000">
        <w:rPr>
          <w:rtl w:val="0"/>
        </w:rPr>
      </w:r>
    </w:p>
    <w:p w:rsidR="00000000" w:rsidDel="00000000" w:rsidP="00000000" w:rsidRDefault="00000000" w:rsidRPr="00000000" w14:paraId="000017B8">
      <w:pPr>
        <w:spacing w:after="280" w:before="280" w:lineRule="auto"/>
        <w:jc w:val="both"/>
        <w:rPr/>
      </w:pPr>
      <w:r w:rsidDel="00000000" w:rsidR="00000000" w:rsidRPr="00000000">
        <w:rPr>
          <w:rtl w:val="0"/>
        </w:rPr>
        <w:t xml:space="preserve">Hussain, J. and Cohen, M., 2018. Clinical effects of regular dry sauna bathing: A systematic review. </w:t>
      </w:r>
      <w:r w:rsidDel="00000000" w:rsidR="00000000" w:rsidRPr="00000000">
        <w:rPr>
          <w:i w:val="1"/>
          <w:rtl w:val="0"/>
        </w:rPr>
        <w:t xml:space="preserve">Evidence-Based Complementary and Alternative Medicine (eCAM)</w:t>
      </w:r>
      <w:r w:rsidDel="00000000" w:rsidR="00000000" w:rsidRPr="00000000">
        <w:rPr>
          <w:rtl w:val="0"/>
        </w:rPr>
        <w:t xml:space="preserve">, 2018, 1857413. </w:t>
      </w:r>
      <w:hyperlink r:id="rId127">
        <w:r w:rsidDel="00000000" w:rsidR="00000000" w:rsidRPr="00000000">
          <w:rPr>
            <w:color w:val="0000ff"/>
            <w:u w:val="single"/>
            <w:rtl w:val="0"/>
          </w:rPr>
          <w:t xml:space="preserve">https://doi.org/10.1155/2018/1857413</w:t>
        </w:r>
      </w:hyperlink>
      <w:r w:rsidDel="00000000" w:rsidR="00000000" w:rsidRPr="00000000">
        <w:rPr>
          <w:rtl w:val="0"/>
        </w:rPr>
      </w:r>
    </w:p>
    <w:p w:rsidR="00000000" w:rsidDel="00000000" w:rsidP="00000000" w:rsidRDefault="00000000" w:rsidRPr="00000000" w14:paraId="000017B9">
      <w:pPr>
        <w:spacing w:after="280" w:before="280" w:lineRule="auto"/>
        <w:jc w:val="both"/>
        <w:rPr/>
      </w:pPr>
      <w:r w:rsidDel="00000000" w:rsidR="00000000" w:rsidRPr="00000000">
        <w:rPr>
          <w:rtl w:val="0"/>
        </w:rPr>
        <w:t xml:space="preserve">Hutabarat, I., Suryawan, I. and Andrew, A., 2021. Effect of performance expectancy and social influence on continuance intention in OVO. </w:t>
      </w:r>
      <w:r w:rsidDel="00000000" w:rsidR="00000000" w:rsidRPr="00000000">
        <w:rPr>
          <w:i w:val="1"/>
          <w:rtl w:val="0"/>
        </w:rPr>
        <w:t xml:space="preserve">Jurnal Manajemen</w:t>
      </w:r>
      <w:r w:rsidDel="00000000" w:rsidR="00000000" w:rsidRPr="00000000">
        <w:rPr>
          <w:rtl w:val="0"/>
        </w:rPr>
        <w:t xml:space="preserve">, 25(1), pp.125–140. </w:t>
      </w:r>
      <w:hyperlink r:id="rId128">
        <w:r w:rsidDel="00000000" w:rsidR="00000000" w:rsidRPr="00000000">
          <w:rPr>
            <w:color w:val="0000ff"/>
            <w:u w:val="single"/>
            <w:rtl w:val="0"/>
          </w:rPr>
          <w:t xml:space="preserve">https://doi.org/10.24912/jm.v25i1.707</w:t>
        </w:r>
      </w:hyperlink>
      <w:r w:rsidDel="00000000" w:rsidR="00000000" w:rsidRPr="00000000">
        <w:rPr>
          <w:rtl w:val="0"/>
        </w:rPr>
      </w:r>
    </w:p>
    <w:p w:rsidR="00000000" w:rsidDel="00000000" w:rsidP="00000000" w:rsidRDefault="00000000" w:rsidRPr="00000000" w14:paraId="000017BA">
      <w:pPr>
        <w:spacing w:after="280" w:before="280" w:lineRule="auto"/>
        <w:jc w:val="both"/>
        <w:rPr/>
      </w:pPr>
      <w:r w:rsidDel="00000000" w:rsidR="00000000" w:rsidRPr="00000000">
        <w:rPr>
          <w:rtl w:val="0"/>
        </w:rPr>
        <w:t xml:space="preserve">Im, I., Kim, Y. and Han, H.J., 2008. The effects of perceived risk and technology type on users’ acceptance of technologies. </w:t>
      </w:r>
      <w:r w:rsidDel="00000000" w:rsidR="00000000" w:rsidRPr="00000000">
        <w:rPr>
          <w:i w:val="1"/>
          <w:rtl w:val="0"/>
        </w:rPr>
        <w:t xml:space="preserve">Information &amp; Management</w:t>
      </w:r>
      <w:r w:rsidDel="00000000" w:rsidR="00000000" w:rsidRPr="00000000">
        <w:rPr>
          <w:rtl w:val="0"/>
        </w:rPr>
        <w:t xml:space="preserve">, 45(1), pp.1–9. </w:t>
      </w:r>
      <w:hyperlink r:id="rId129">
        <w:r w:rsidDel="00000000" w:rsidR="00000000" w:rsidRPr="00000000">
          <w:rPr>
            <w:color w:val="0000ff"/>
            <w:u w:val="single"/>
            <w:rtl w:val="0"/>
          </w:rPr>
          <w:t xml:space="preserve">https://doi.org/10.1016/j.im.2007.03.005</w:t>
        </w:r>
      </w:hyperlink>
      <w:r w:rsidDel="00000000" w:rsidR="00000000" w:rsidRPr="00000000">
        <w:rPr>
          <w:rtl w:val="0"/>
        </w:rPr>
      </w:r>
    </w:p>
    <w:p w:rsidR="00000000" w:rsidDel="00000000" w:rsidP="00000000" w:rsidRDefault="00000000" w:rsidRPr="00000000" w14:paraId="000017BB">
      <w:pPr>
        <w:spacing w:after="280" w:before="280" w:lineRule="auto"/>
        <w:jc w:val="both"/>
        <w:rPr/>
      </w:pPr>
      <w:r w:rsidDel="00000000" w:rsidR="00000000" w:rsidRPr="00000000">
        <w:rPr>
          <w:rtl w:val="0"/>
        </w:rPr>
        <w:t xml:space="preserve">Inspectie voor de Gezondheidszorg, 2008. </w:t>
      </w:r>
      <w:r w:rsidDel="00000000" w:rsidR="00000000" w:rsidRPr="00000000">
        <w:rPr>
          <w:i w:val="1"/>
          <w:rtl w:val="0"/>
        </w:rPr>
        <w:t xml:space="preserve">Risico’s van medische technologie onderschat</w:t>
      </w:r>
      <w:r w:rsidDel="00000000" w:rsidR="00000000" w:rsidRPr="00000000">
        <w:rPr>
          <w:rtl w:val="0"/>
        </w:rPr>
        <w:t xml:space="preserve">. Staatstoezicht op de Volksgezondheid.</w:t>
      </w:r>
    </w:p>
    <w:p w:rsidR="00000000" w:rsidDel="00000000" w:rsidP="00000000" w:rsidRDefault="00000000" w:rsidRPr="00000000" w14:paraId="000017BC">
      <w:pPr>
        <w:spacing w:after="280" w:before="280" w:lineRule="auto"/>
        <w:jc w:val="both"/>
        <w:rPr/>
      </w:pPr>
      <w:r w:rsidDel="00000000" w:rsidR="00000000" w:rsidRPr="00000000">
        <w:rPr>
          <w:rtl w:val="0"/>
        </w:rPr>
        <w:t xml:space="preserve">Iqbal, J.D. and Biller-Andorno, N., 2022. The regulatory gap in digital health and alternative pathways to bridge it. </w:t>
      </w:r>
      <w:r w:rsidDel="00000000" w:rsidR="00000000" w:rsidRPr="00000000">
        <w:rPr>
          <w:i w:val="1"/>
          <w:rtl w:val="0"/>
        </w:rPr>
        <w:t xml:space="preserve">Health Policy and Technology</w:t>
      </w:r>
      <w:r w:rsidDel="00000000" w:rsidR="00000000" w:rsidRPr="00000000">
        <w:rPr>
          <w:rtl w:val="0"/>
        </w:rPr>
        <w:t xml:space="preserve">, 11(3), 100663. </w:t>
      </w:r>
      <w:hyperlink r:id="rId130">
        <w:r w:rsidDel="00000000" w:rsidR="00000000" w:rsidRPr="00000000">
          <w:rPr>
            <w:color w:val="0000ff"/>
            <w:u w:val="single"/>
            <w:rtl w:val="0"/>
          </w:rPr>
          <w:t xml:space="preserve">https://doi.org/10.1016/j.hlpt.2022.100663</w:t>
        </w:r>
      </w:hyperlink>
      <w:r w:rsidDel="00000000" w:rsidR="00000000" w:rsidRPr="00000000">
        <w:rPr>
          <w:rtl w:val="0"/>
        </w:rPr>
      </w:r>
    </w:p>
    <w:p w:rsidR="00000000" w:rsidDel="00000000" w:rsidP="00000000" w:rsidRDefault="00000000" w:rsidRPr="00000000" w14:paraId="000017BD">
      <w:pPr>
        <w:spacing w:after="280" w:before="280" w:lineRule="auto"/>
        <w:jc w:val="both"/>
        <w:rPr/>
      </w:pPr>
      <w:r w:rsidDel="00000000" w:rsidR="00000000" w:rsidRPr="00000000">
        <w:rPr>
          <w:rtl w:val="0"/>
        </w:rPr>
        <w:t xml:space="preserve">Jain, A., 2025. Personalized health monitoring app using AI and predictive analytics. </w:t>
      </w:r>
      <w:r w:rsidDel="00000000" w:rsidR="00000000" w:rsidRPr="00000000">
        <w:rPr>
          <w:i w:val="1"/>
          <w:rtl w:val="0"/>
        </w:rPr>
        <w:t xml:space="preserve">Techahead</w:t>
      </w:r>
      <w:r w:rsidDel="00000000" w:rsidR="00000000" w:rsidRPr="00000000">
        <w:rPr>
          <w:rtl w:val="0"/>
        </w:rPr>
        <w:t xml:space="preserve">. [online forum post] Available at: </w:t>
      </w:r>
      <w:hyperlink r:id="rId131">
        <w:r w:rsidDel="00000000" w:rsidR="00000000" w:rsidRPr="00000000">
          <w:rPr>
            <w:color w:val="0000ff"/>
            <w:u w:val="single"/>
            <w:rtl w:val="0"/>
          </w:rPr>
          <w:t xml:space="preserve">https://www.techaheadcorp.com/blog/personalized-health-monitoring-app-using-ai-and-predictive-analytics/</w:t>
        </w:r>
      </w:hyperlink>
      <w:r w:rsidDel="00000000" w:rsidR="00000000" w:rsidRPr="00000000">
        <w:rPr>
          <w:rtl w:val="0"/>
        </w:rPr>
        <w:t xml:space="preserve"> [Accessed 18 May 2025].</w:t>
      </w:r>
    </w:p>
    <w:p w:rsidR="00000000" w:rsidDel="00000000" w:rsidP="00000000" w:rsidRDefault="00000000" w:rsidRPr="00000000" w14:paraId="000017BE">
      <w:pPr>
        <w:spacing w:after="280" w:before="280" w:lineRule="auto"/>
        <w:jc w:val="both"/>
        <w:rPr/>
      </w:pPr>
      <w:r w:rsidDel="00000000" w:rsidR="00000000" w:rsidRPr="00000000">
        <w:rPr>
          <w:rtl w:val="0"/>
        </w:rPr>
        <w:t xml:space="preserve">Jalo, H. and Pirkkalainen, H., 2024. Effect of user resistance on the organizational adoption of extended reality technologies: A mixed methods study. </w:t>
      </w:r>
      <w:r w:rsidDel="00000000" w:rsidR="00000000" w:rsidRPr="00000000">
        <w:rPr>
          <w:i w:val="1"/>
          <w:rtl w:val="0"/>
        </w:rPr>
        <w:t xml:space="preserve">International Journal of Information Management</w:t>
      </w:r>
      <w:r w:rsidDel="00000000" w:rsidR="00000000" w:rsidRPr="00000000">
        <w:rPr>
          <w:rtl w:val="0"/>
        </w:rPr>
        <w:t xml:space="preserve">, 75, 102731. </w:t>
      </w:r>
      <w:hyperlink r:id="rId132">
        <w:r w:rsidDel="00000000" w:rsidR="00000000" w:rsidRPr="00000000">
          <w:rPr>
            <w:color w:val="0000ff"/>
            <w:u w:val="single"/>
            <w:rtl w:val="0"/>
          </w:rPr>
          <w:t xml:space="preserve">https://doi.org/10.1016/j.ijinfomgt.2023.102731</w:t>
        </w:r>
      </w:hyperlink>
      <w:r w:rsidDel="00000000" w:rsidR="00000000" w:rsidRPr="00000000">
        <w:rPr>
          <w:rtl w:val="0"/>
        </w:rPr>
      </w:r>
    </w:p>
    <w:p w:rsidR="00000000" w:rsidDel="00000000" w:rsidP="00000000" w:rsidRDefault="00000000" w:rsidRPr="00000000" w14:paraId="000017BF">
      <w:pPr>
        <w:spacing w:after="280" w:before="280" w:lineRule="auto"/>
        <w:jc w:val="both"/>
        <w:rPr/>
      </w:pPr>
      <w:r w:rsidDel="00000000" w:rsidR="00000000" w:rsidRPr="00000000">
        <w:rPr>
          <w:rtl w:val="0"/>
        </w:rPr>
        <w:t xml:space="preserve">Javaid, M., Haleem, A. and Singh, R.P., 2024. Health informatics to enhance the healthcare industry's culture: An extensive analysis of its features, contributions, applications and limitations. </w:t>
      </w:r>
      <w:r w:rsidDel="00000000" w:rsidR="00000000" w:rsidRPr="00000000">
        <w:rPr>
          <w:i w:val="1"/>
          <w:rtl w:val="0"/>
        </w:rPr>
        <w:t xml:space="preserve">Informatics and Health</w:t>
      </w:r>
      <w:r w:rsidDel="00000000" w:rsidR="00000000" w:rsidRPr="00000000">
        <w:rPr>
          <w:rtl w:val="0"/>
        </w:rPr>
        <w:t xml:space="preserve">, 1(2), pp.123–148. </w:t>
      </w:r>
      <w:hyperlink r:id="rId133">
        <w:r w:rsidDel="00000000" w:rsidR="00000000" w:rsidRPr="00000000">
          <w:rPr>
            <w:color w:val="0000ff"/>
            <w:u w:val="single"/>
            <w:rtl w:val="0"/>
          </w:rPr>
          <w:t xml:space="preserve">https://doi.org/10.1016/j.infoh.2024.05.001</w:t>
        </w:r>
      </w:hyperlink>
      <w:r w:rsidDel="00000000" w:rsidR="00000000" w:rsidRPr="00000000">
        <w:rPr>
          <w:rtl w:val="0"/>
        </w:rPr>
      </w:r>
    </w:p>
    <w:p w:rsidR="00000000" w:rsidDel="00000000" w:rsidP="00000000" w:rsidRDefault="00000000" w:rsidRPr="00000000" w14:paraId="000017C0">
      <w:pPr>
        <w:spacing w:after="280" w:before="280" w:lineRule="auto"/>
        <w:jc w:val="both"/>
        <w:rPr/>
      </w:pPr>
      <w:r w:rsidDel="00000000" w:rsidR="00000000" w:rsidRPr="00000000">
        <w:rPr>
          <w:rtl w:val="0"/>
        </w:rPr>
        <w:t xml:space="preserve">Javanmardi, E., Maresova, P., Xie, N. and Mierzwiak, R., 2024. Exploring business models for managing uncertainty in healthcare, medical devices, and biotechnology industries. </w:t>
      </w:r>
      <w:r w:rsidDel="00000000" w:rsidR="00000000" w:rsidRPr="00000000">
        <w:rPr>
          <w:i w:val="1"/>
          <w:rtl w:val="0"/>
        </w:rPr>
        <w:t xml:space="preserve">Heliyon</w:t>
      </w:r>
      <w:r w:rsidDel="00000000" w:rsidR="00000000" w:rsidRPr="00000000">
        <w:rPr>
          <w:rtl w:val="0"/>
        </w:rPr>
        <w:t xml:space="preserve">, 10(4), e25962. </w:t>
      </w:r>
      <w:hyperlink r:id="rId134">
        <w:r w:rsidDel="00000000" w:rsidR="00000000" w:rsidRPr="00000000">
          <w:rPr>
            <w:color w:val="0000ff"/>
            <w:u w:val="single"/>
            <w:rtl w:val="0"/>
          </w:rPr>
          <w:t xml:space="preserve">https://doi.org/10.1016/j.heliyon.2024.e25962</w:t>
        </w:r>
      </w:hyperlink>
      <w:r w:rsidDel="00000000" w:rsidR="00000000" w:rsidRPr="00000000">
        <w:rPr>
          <w:rtl w:val="0"/>
        </w:rPr>
      </w:r>
    </w:p>
    <w:p w:rsidR="00000000" w:rsidDel="00000000" w:rsidP="00000000" w:rsidRDefault="00000000" w:rsidRPr="00000000" w14:paraId="000017C1">
      <w:pPr>
        <w:spacing w:after="280" w:before="280" w:lineRule="auto"/>
        <w:jc w:val="both"/>
        <w:rPr/>
      </w:pPr>
      <w:r w:rsidDel="00000000" w:rsidR="00000000" w:rsidRPr="00000000">
        <w:rPr>
          <w:rtl w:val="0"/>
        </w:rPr>
        <w:t xml:space="preserve">Johnson, D., Deterding, S., Kuhn, K.-A., Staneva, A., Stoyanov, S. and Hides, L., 2016. Gamification for health and wellbeing: A systematic review of the literature. </w:t>
      </w:r>
      <w:r w:rsidDel="00000000" w:rsidR="00000000" w:rsidRPr="00000000">
        <w:rPr>
          <w:i w:val="1"/>
          <w:rtl w:val="0"/>
        </w:rPr>
        <w:t xml:space="preserve">Internet Interventions</w:t>
      </w:r>
      <w:r w:rsidDel="00000000" w:rsidR="00000000" w:rsidRPr="00000000">
        <w:rPr>
          <w:rtl w:val="0"/>
        </w:rPr>
        <w:t xml:space="preserve">, 6, pp.89–106. </w:t>
      </w:r>
      <w:hyperlink r:id="rId135">
        <w:r w:rsidDel="00000000" w:rsidR="00000000" w:rsidRPr="00000000">
          <w:rPr>
            <w:color w:val="0000ff"/>
            <w:u w:val="single"/>
            <w:rtl w:val="0"/>
          </w:rPr>
          <w:t xml:space="preserve">https://doi.org/10.1016/j.invent.2016.10.002</w:t>
        </w:r>
      </w:hyperlink>
      <w:r w:rsidDel="00000000" w:rsidR="00000000" w:rsidRPr="00000000">
        <w:rPr>
          <w:rtl w:val="0"/>
        </w:rPr>
      </w:r>
    </w:p>
    <w:p w:rsidR="00000000" w:rsidDel="00000000" w:rsidP="00000000" w:rsidRDefault="00000000" w:rsidRPr="00000000" w14:paraId="000017C2">
      <w:pPr>
        <w:spacing w:after="280" w:before="280" w:lineRule="auto"/>
        <w:jc w:val="both"/>
        <w:rPr/>
      </w:pPr>
      <w:r w:rsidDel="00000000" w:rsidR="00000000" w:rsidRPr="00000000">
        <w:rPr>
          <w:rtl w:val="0"/>
        </w:rPr>
        <w:t xml:space="preserve">Jöreskog, K.G., 1969. A general approach to confirmatory maximum likelihood factor analysis. </w:t>
      </w:r>
      <w:r w:rsidDel="00000000" w:rsidR="00000000" w:rsidRPr="00000000">
        <w:rPr>
          <w:i w:val="1"/>
          <w:rtl w:val="0"/>
        </w:rPr>
        <w:t xml:space="preserve">Psychometrika</w:t>
      </w:r>
      <w:r w:rsidDel="00000000" w:rsidR="00000000" w:rsidRPr="00000000">
        <w:rPr>
          <w:rtl w:val="0"/>
        </w:rPr>
        <w:t xml:space="preserve">, 34(2), pp.183–202. </w:t>
      </w:r>
      <w:hyperlink r:id="rId136">
        <w:r w:rsidDel="00000000" w:rsidR="00000000" w:rsidRPr="00000000">
          <w:rPr>
            <w:color w:val="0000ff"/>
            <w:u w:val="single"/>
            <w:rtl w:val="0"/>
          </w:rPr>
          <w:t xml:space="preserve">https://doi.org/10.1007/BF02289343</w:t>
        </w:r>
      </w:hyperlink>
      <w:r w:rsidDel="00000000" w:rsidR="00000000" w:rsidRPr="00000000">
        <w:rPr>
          <w:rtl w:val="0"/>
        </w:rPr>
      </w:r>
    </w:p>
    <w:p w:rsidR="00000000" w:rsidDel="00000000" w:rsidP="00000000" w:rsidRDefault="00000000" w:rsidRPr="00000000" w14:paraId="000017C3">
      <w:pPr>
        <w:spacing w:after="280" w:before="280" w:lineRule="auto"/>
        <w:jc w:val="both"/>
        <w:rPr/>
      </w:pPr>
      <w:r w:rsidDel="00000000" w:rsidR="00000000" w:rsidRPr="00000000">
        <w:rPr>
          <w:rtl w:val="0"/>
        </w:rPr>
        <w:t xml:space="preserve">Junaid, S.B., Imam, A.A., Balogun, A.O., De Silva, L.C., Surakat, Y.A., Kumar, G., Abdulkarim, M., Shuaibu, A.N., Garba, A., Sahalu, Y., Mohammed, A., Mohammed, T.Y., Abdulkadir, B.A., Abba, A.A., Kakumi, N.A.I. and Mahamad, S., 2022. Recent advancements in emerging technologies for healthcare management systems: A survey. </w:t>
      </w:r>
      <w:r w:rsidDel="00000000" w:rsidR="00000000" w:rsidRPr="00000000">
        <w:rPr>
          <w:i w:val="1"/>
          <w:rtl w:val="0"/>
        </w:rPr>
        <w:t xml:space="preserve">Healthcare (Basel, Switzerland)</w:t>
      </w:r>
      <w:r w:rsidDel="00000000" w:rsidR="00000000" w:rsidRPr="00000000">
        <w:rPr>
          <w:rtl w:val="0"/>
        </w:rPr>
        <w:t xml:space="preserve">, 10(10), 1940. </w:t>
      </w:r>
      <w:hyperlink r:id="rId137">
        <w:r w:rsidDel="00000000" w:rsidR="00000000" w:rsidRPr="00000000">
          <w:rPr>
            <w:color w:val="0000ff"/>
            <w:u w:val="single"/>
            <w:rtl w:val="0"/>
          </w:rPr>
          <w:t xml:space="preserve">https://doi.org/10.3390/healthcare10101940</w:t>
        </w:r>
      </w:hyperlink>
      <w:r w:rsidDel="00000000" w:rsidR="00000000" w:rsidRPr="00000000">
        <w:rPr>
          <w:rtl w:val="0"/>
        </w:rPr>
      </w:r>
    </w:p>
    <w:p w:rsidR="00000000" w:rsidDel="00000000" w:rsidP="00000000" w:rsidRDefault="00000000" w:rsidRPr="00000000" w14:paraId="000017C4">
      <w:pPr>
        <w:spacing w:after="280" w:before="280" w:lineRule="auto"/>
        <w:jc w:val="both"/>
        <w:rPr/>
      </w:pPr>
      <w:r w:rsidDel="00000000" w:rsidR="00000000" w:rsidRPr="00000000">
        <w:rPr>
          <w:rtl w:val="0"/>
        </w:rPr>
        <w:t xml:space="preserve">Junaid, S.B., Imam, A.A., Balogun, A.O., De Silva, L.C., Surakat, Y.A., Kumar, G., Abdulkarim, M., Shuaibu, A.N., Garba, A., Sahalu, Y., Mohammed, A., Mohammed, T.Y., Abdulkadir, B.A., Abba, A.A., Kakumi, N.A.I. and Mahamad, S., 2022. Recent advancements in emerging technologies for healthcare management systems: A survey. </w:t>
      </w:r>
      <w:r w:rsidDel="00000000" w:rsidR="00000000" w:rsidRPr="00000000">
        <w:rPr>
          <w:i w:val="1"/>
          <w:rtl w:val="0"/>
        </w:rPr>
        <w:t xml:space="preserve">Healthcare (Basel, Switzerland)</w:t>
      </w:r>
      <w:r w:rsidDel="00000000" w:rsidR="00000000" w:rsidRPr="00000000">
        <w:rPr>
          <w:rtl w:val="0"/>
        </w:rPr>
        <w:t xml:space="preserve">, 10(10), 1940. </w:t>
      </w:r>
      <w:hyperlink r:id="rId138">
        <w:r w:rsidDel="00000000" w:rsidR="00000000" w:rsidRPr="00000000">
          <w:rPr>
            <w:color w:val="0000ff"/>
            <w:u w:val="single"/>
            <w:rtl w:val="0"/>
          </w:rPr>
          <w:t xml:space="preserve">https://doi.org/10.3390/healthcare10101940</w:t>
        </w:r>
      </w:hyperlink>
      <w:r w:rsidDel="00000000" w:rsidR="00000000" w:rsidRPr="00000000">
        <w:rPr>
          <w:rtl w:val="0"/>
        </w:rPr>
      </w:r>
    </w:p>
    <w:p w:rsidR="00000000" w:rsidDel="00000000" w:rsidP="00000000" w:rsidRDefault="00000000" w:rsidRPr="00000000" w14:paraId="000017C5">
      <w:pPr>
        <w:spacing w:after="280" w:before="280" w:lineRule="auto"/>
        <w:jc w:val="both"/>
        <w:rPr/>
      </w:pPr>
      <w:r w:rsidDel="00000000" w:rsidR="00000000" w:rsidRPr="00000000">
        <w:rPr>
          <w:rtl w:val="0"/>
        </w:rPr>
        <w:t xml:space="preserve">Kaba, B. and Touré, B., 2014. Understanding information and communication technology behavioral intention to use: Applying the UTAUT model to social networking site adoption by young people in a least developed country. </w:t>
      </w:r>
      <w:r w:rsidDel="00000000" w:rsidR="00000000" w:rsidRPr="00000000">
        <w:rPr>
          <w:i w:val="1"/>
          <w:rtl w:val="0"/>
        </w:rPr>
        <w:t xml:space="preserve">Journal of the Association for Information Science and Technology</w:t>
      </w:r>
      <w:r w:rsidDel="00000000" w:rsidR="00000000" w:rsidRPr="00000000">
        <w:rPr>
          <w:rtl w:val="0"/>
        </w:rPr>
        <w:t xml:space="preserve">, 65(8), pp.1662–1674. </w:t>
      </w:r>
      <w:hyperlink r:id="rId139">
        <w:r w:rsidDel="00000000" w:rsidR="00000000" w:rsidRPr="00000000">
          <w:rPr>
            <w:color w:val="0000ff"/>
            <w:u w:val="single"/>
            <w:rtl w:val="0"/>
          </w:rPr>
          <w:t xml:space="preserve">https://doi.org/10.1002/asi.23069</w:t>
        </w:r>
      </w:hyperlink>
      <w:r w:rsidDel="00000000" w:rsidR="00000000" w:rsidRPr="00000000">
        <w:rPr>
          <w:rtl w:val="0"/>
        </w:rPr>
      </w:r>
    </w:p>
    <w:p w:rsidR="00000000" w:rsidDel="00000000" w:rsidP="00000000" w:rsidRDefault="00000000" w:rsidRPr="00000000" w14:paraId="000017C6">
      <w:pPr>
        <w:spacing w:after="280" w:before="280" w:lineRule="auto"/>
        <w:jc w:val="both"/>
        <w:rPr/>
      </w:pPr>
      <w:r w:rsidDel="00000000" w:rsidR="00000000" w:rsidRPr="00000000">
        <w:rPr>
          <w:rtl w:val="0"/>
        </w:rPr>
        <w:t xml:space="preserve">Kalayou, M.H., Endehabtu, B.F. and Tilahun, B., 2020. The applicability of the modified Technology Acceptance Model (TAM) on the sustainable adoption of eHealth systems in resource-limited settings. </w:t>
      </w:r>
      <w:r w:rsidDel="00000000" w:rsidR="00000000" w:rsidRPr="00000000">
        <w:rPr>
          <w:i w:val="1"/>
          <w:rtl w:val="0"/>
        </w:rPr>
        <w:t xml:space="preserve">Journal of Multidisciplinary Healthcare</w:t>
      </w:r>
      <w:r w:rsidDel="00000000" w:rsidR="00000000" w:rsidRPr="00000000">
        <w:rPr>
          <w:rtl w:val="0"/>
        </w:rPr>
        <w:t xml:space="preserve">, 13, pp.1827–1837. </w:t>
      </w:r>
      <w:hyperlink r:id="rId140">
        <w:r w:rsidDel="00000000" w:rsidR="00000000" w:rsidRPr="00000000">
          <w:rPr>
            <w:color w:val="0000ff"/>
            <w:u w:val="single"/>
            <w:rtl w:val="0"/>
          </w:rPr>
          <w:t xml:space="preserve">https://doi.org/10.2147/JMDH.S284973</w:t>
        </w:r>
      </w:hyperlink>
      <w:r w:rsidDel="00000000" w:rsidR="00000000" w:rsidRPr="00000000">
        <w:rPr>
          <w:rtl w:val="0"/>
        </w:rPr>
      </w:r>
    </w:p>
    <w:p w:rsidR="00000000" w:rsidDel="00000000" w:rsidP="00000000" w:rsidRDefault="00000000" w:rsidRPr="00000000" w14:paraId="000017C7">
      <w:pPr>
        <w:spacing w:after="280" w:before="280" w:lineRule="auto"/>
        <w:jc w:val="both"/>
        <w:rPr/>
      </w:pPr>
      <w:r w:rsidDel="00000000" w:rsidR="00000000" w:rsidRPr="00000000">
        <w:rPr>
          <w:rtl w:val="0"/>
        </w:rPr>
        <w:t xml:space="preserve">Kang, H.S. and Exworthy, M., 2022. Wearing the future—Wearables to empower users to take greater responsibility for their health and care: Scoping review. </w:t>
      </w:r>
      <w:r w:rsidDel="00000000" w:rsidR="00000000" w:rsidRPr="00000000">
        <w:rPr>
          <w:i w:val="1"/>
          <w:rtl w:val="0"/>
        </w:rPr>
        <w:t xml:space="preserve">JMIR mHealth and uHealth</w:t>
      </w:r>
      <w:r w:rsidDel="00000000" w:rsidR="00000000" w:rsidRPr="00000000">
        <w:rPr>
          <w:rtl w:val="0"/>
        </w:rPr>
        <w:t xml:space="preserve">, 10(7), e35684. </w:t>
      </w:r>
      <w:hyperlink r:id="rId141">
        <w:r w:rsidDel="00000000" w:rsidR="00000000" w:rsidRPr="00000000">
          <w:rPr>
            <w:color w:val="0000ff"/>
            <w:u w:val="single"/>
            <w:rtl w:val="0"/>
          </w:rPr>
          <w:t xml:space="preserve">https://doi.org/10.2196/35684</w:t>
        </w:r>
      </w:hyperlink>
      <w:r w:rsidDel="00000000" w:rsidR="00000000" w:rsidRPr="00000000">
        <w:rPr>
          <w:rtl w:val="0"/>
        </w:rPr>
      </w:r>
    </w:p>
    <w:p w:rsidR="00000000" w:rsidDel="00000000" w:rsidP="00000000" w:rsidRDefault="00000000" w:rsidRPr="00000000" w14:paraId="000017C8">
      <w:pPr>
        <w:spacing w:after="280" w:before="280" w:lineRule="auto"/>
        <w:jc w:val="both"/>
        <w:rPr/>
      </w:pPr>
      <w:r w:rsidDel="00000000" w:rsidR="00000000" w:rsidRPr="00000000">
        <w:rPr>
          <w:rtl w:val="0"/>
        </w:rPr>
        <w:t xml:space="preserve">Kang, M., Lee, Y., Lee, Y., Kim, E., Jo, J., Shin, H., Choi, J., Oh, J., Yoon, H. and Kang, H.W., 2024. Wavelength-dependent photobiomodulation (PBM) for proliferation and angiogenesis of melanoma tumor in vitro and in vivo. </w:t>
      </w:r>
      <w:r w:rsidDel="00000000" w:rsidR="00000000" w:rsidRPr="00000000">
        <w:rPr>
          <w:i w:val="1"/>
          <w:rtl w:val="0"/>
        </w:rPr>
        <w:t xml:space="preserve">Journal of Photochemistry and Photobiology B: Biology</w:t>
      </w:r>
      <w:r w:rsidDel="00000000" w:rsidR="00000000" w:rsidRPr="00000000">
        <w:rPr>
          <w:rtl w:val="0"/>
        </w:rPr>
        <w:t xml:space="preserve">, 258, 112990. </w:t>
      </w:r>
      <w:hyperlink r:id="rId142">
        <w:r w:rsidDel="00000000" w:rsidR="00000000" w:rsidRPr="00000000">
          <w:rPr>
            <w:color w:val="0000ff"/>
            <w:u w:val="single"/>
            <w:rtl w:val="0"/>
          </w:rPr>
          <w:t xml:space="preserve">https://doi.org/10.1016/j.jphotobiol.2024.112990</w:t>
        </w:r>
      </w:hyperlink>
      <w:r w:rsidDel="00000000" w:rsidR="00000000" w:rsidRPr="00000000">
        <w:rPr>
          <w:rtl w:val="0"/>
        </w:rPr>
      </w:r>
    </w:p>
    <w:p w:rsidR="00000000" w:rsidDel="00000000" w:rsidP="00000000" w:rsidRDefault="00000000" w:rsidRPr="00000000" w14:paraId="000017C9">
      <w:pPr>
        <w:spacing w:after="280" w:before="280" w:lineRule="auto"/>
        <w:jc w:val="both"/>
        <w:rPr/>
      </w:pPr>
      <w:r w:rsidDel="00000000" w:rsidR="00000000" w:rsidRPr="00000000">
        <w:rPr>
          <w:rtl w:val="0"/>
        </w:rPr>
        <w:t xml:space="preserve">Kapoor, K., Dwivedi, Y. and Williams, M., 2014. Rogers’ Innovation Adoption Attributes: A systematic review and synthesis of existing research. </w:t>
      </w:r>
      <w:r w:rsidDel="00000000" w:rsidR="00000000" w:rsidRPr="00000000">
        <w:rPr>
          <w:i w:val="1"/>
          <w:rtl w:val="0"/>
        </w:rPr>
        <w:t xml:space="preserve">Information Systems Management</w:t>
      </w:r>
      <w:r w:rsidDel="00000000" w:rsidR="00000000" w:rsidRPr="00000000">
        <w:rPr>
          <w:rtl w:val="0"/>
        </w:rPr>
        <w:t xml:space="preserve">, 31(1), pp.74–91. https://doi.org/10.1080/10580530.2014.854103</w:t>
      </w:r>
    </w:p>
    <w:p w:rsidR="00000000" w:rsidDel="00000000" w:rsidP="00000000" w:rsidRDefault="00000000" w:rsidRPr="00000000" w14:paraId="000017CA">
      <w:pPr>
        <w:spacing w:after="280" w:before="280" w:lineRule="auto"/>
        <w:jc w:val="both"/>
        <w:rPr/>
      </w:pPr>
      <w:r w:rsidDel="00000000" w:rsidR="00000000" w:rsidRPr="00000000">
        <w:rPr>
          <w:rtl w:val="0"/>
        </w:rPr>
        <w:t xml:space="preserve">Kaufman-Rivi, D., Collins-Mitchell, J. and Jetley, R., 2010. Design considerations for medical devices in the home environment. </w:t>
      </w:r>
      <w:r w:rsidDel="00000000" w:rsidR="00000000" w:rsidRPr="00000000">
        <w:rPr>
          <w:i w:val="1"/>
          <w:rtl w:val="0"/>
        </w:rPr>
        <w:t xml:space="preserve">Biomedical Instrumentation &amp; Technology</w:t>
      </w:r>
      <w:r w:rsidDel="00000000" w:rsidR="00000000" w:rsidRPr="00000000">
        <w:rPr>
          <w:rtl w:val="0"/>
        </w:rPr>
        <w:t xml:space="preserve">, (Home Health), pp.21–26.</w:t>
      </w:r>
    </w:p>
    <w:p w:rsidR="00000000" w:rsidDel="00000000" w:rsidP="00000000" w:rsidRDefault="00000000" w:rsidRPr="00000000" w14:paraId="000017CB">
      <w:pPr>
        <w:spacing w:after="280" w:before="280" w:lineRule="auto"/>
        <w:jc w:val="both"/>
        <w:rPr/>
      </w:pPr>
      <w:r w:rsidDel="00000000" w:rsidR="00000000" w:rsidRPr="00000000">
        <w:rPr>
          <w:rtl w:val="0"/>
        </w:rPr>
        <w:t xml:space="preserve">Kenesei, Z., Ásványi, K., Kökény, L., Jászberényi, M., Miskolczi, M., Gyulavári, T. and Syahrivar, J., 2022. Trust and perceived risk: How different manifestations affect the adoption of autonomous vehicles. </w:t>
      </w:r>
      <w:r w:rsidDel="00000000" w:rsidR="00000000" w:rsidRPr="00000000">
        <w:rPr>
          <w:i w:val="1"/>
          <w:rtl w:val="0"/>
        </w:rPr>
        <w:t xml:space="preserve">Transportation Research Part A: Policy and Practice</w:t>
      </w:r>
      <w:r w:rsidDel="00000000" w:rsidR="00000000" w:rsidRPr="00000000">
        <w:rPr>
          <w:rtl w:val="0"/>
        </w:rPr>
        <w:t xml:space="preserve">, 164, pp.379–393. </w:t>
      </w:r>
      <w:hyperlink r:id="rId143">
        <w:r w:rsidDel="00000000" w:rsidR="00000000" w:rsidRPr="00000000">
          <w:rPr>
            <w:color w:val="0000ff"/>
            <w:u w:val="single"/>
            <w:rtl w:val="0"/>
          </w:rPr>
          <w:t xml:space="preserve">https://doi.org/10.1016/j.tra.2022.08.022</w:t>
        </w:r>
      </w:hyperlink>
      <w:r w:rsidDel="00000000" w:rsidR="00000000" w:rsidRPr="00000000">
        <w:rPr>
          <w:rtl w:val="0"/>
        </w:rPr>
      </w:r>
    </w:p>
    <w:p w:rsidR="00000000" w:rsidDel="00000000" w:rsidP="00000000" w:rsidRDefault="00000000" w:rsidRPr="00000000" w14:paraId="000017CC">
      <w:pPr>
        <w:spacing w:after="280" w:before="280" w:lineRule="auto"/>
        <w:jc w:val="both"/>
        <w:rPr/>
      </w:pPr>
      <w:r w:rsidDel="00000000" w:rsidR="00000000" w:rsidRPr="00000000">
        <w:rPr>
          <w:rtl w:val="0"/>
        </w:rPr>
        <w:t xml:space="preserve">Kesharwani, A. and Singh Bisht, S., 2012. The impact of trust and perceived risk on internet banking adoption in India: An extension of the technology acceptance model. </w:t>
      </w:r>
      <w:r w:rsidDel="00000000" w:rsidR="00000000" w:rsidRPr="00000000">
        <w:rPr>
          <w:i w:val="1"/>
          <w:rtl w:val="0"/>
        </w:rPr>
        <w:t xml:space="preserve">International Journal of Bank Marketing</w:t>
      </w:r>
      <w:r w:rsidDel="00000000" w:rsidR="00000000" w:rsidRPr="00000000">
        <w:rPr>
          <w:rtl w:val="0"/>
        </w:rPr>
        <w:t xml:space="preserve">, 30(4), pp.303–322. </w:t>
      </w:r>
      <w:hyperlink r:id="rId144">
        <w:r w:rsidDel="00000000" w:rsidR="00000000" w:rsidRPr="00000000">
          <w:rPr>
            <w:color w:val="0000ff"/>
            <w:u w:val="single"/>
            <w:rtl w:val="0"/>
          </w:rPr>
          <w:t xml:space="preserve">https://doi.org/10.1108/02652321211236923</w:t>
        </w:r>
      </w:hyperlink>
      <w:r w:rsidDel="00000000" w:rsidR="00000000" w:rsidRPr="00000000">
        <w:rPr>
          <w:rtl w:val="0"/>
        </w:rPr>
      </w:r>
    </w:p>
    <w:p w:rsidR="00000000" w:rsidDel="00000000" w:rsidP="00000000" w:rsidRDefault="00000000" w:rsidRPr="00000000" w14:paraId="000017CD">
      <w:pPr>
        <w:spacing w:after="280" w:before="280" w:lineRule="auto"/>
        <w:jc w:val="both"/>
        <w:rPr/>
      </w:pPr>
      <w:r w:rsidDel="00000000" w:rsidR="00000000" w:rsidRPr="00000000">
        <w:rPr>
          <w:rtl w:val="0"/>
        </w:rPr>
        <w:t xml:space="preserve">Khomkham, P. and Kaewmanee, P., 2024. Patient motivation: A concept analysis. </w:t>
      </w:r>
      <w:r w:rsidDel="00000000" w:rsidR="00000000" w:rsidRPr="00000000">
        <w:rPr>
          <w:i w:val="1"/>
          <w:rtl w:val="0"/>
        </w:rPr>
        <w:t xml:space="preserve">Belitung Nursing Journal</w:t>
      </w:r>
      <w:r w:rsidDel="00000000" w:rsidR="00000000" w:rsidRPr="00000000">
        <w:rPr>
          <w:rtl w:val="0"/>
        </w:rPr>
        <w:t xml:space="preserve">, 10(5), pp.490–497. </w:t>
      </w:r>
      <w:hyperlink r:id="rId145">
        <w:r w:rsidDel="00000000" w:rsidR="00000000" w:rsidRPr="00000000">
          <w:rPr>
            <w:color w:val="0000ff"/>
            <w:u w:val="single"/>
            <w:rtl w:val="0"/>
          </w:rPr>
          <w:t xml:space="preserve">https://doi.org/10.33546/bnj.3529</w:t>
        </w:r>
      </w:hyperlink>
      <w:r w:rsidDel="00000000" w:rsidR="00000000" w:rsidRPr="00000000">
        <w:rPr>
          <w:rtl w:val="0"/>
        </w:rPr>
      </w:r>
    </w:p>
    <w:p w:rsidR="00000000" w:rsidDel="00000000" w:rsidP="00000000" w:rsidRDefault="00000000" w:rsidRPr="00000000" w14:paraId="000017CE">
      <w:pPr>
        <w:spacing w:after="280" w:before="280" w:lineRule="auto"/>
        <w:jc w:val="both"/>
        <w:rPr/>
      </w:pPr>
      <w:r w:rsidDel="00000000" w:rsidR="00000000" w:rsidRPr="00000000">
        <w:rPr>
          <w:rtl w:val="0"/>
        </w:rPr>
        <w:t xml:space="preserve">King, S.K., 2023. Entrepreneurship in the health and wellness space. </w:t>
      </w:r>
      <w:r w:rsidDel="00000000" w:rsidR="00000000" w:rsidRPr="00000000">
        <w:rPr>
          <w:i w:val="1"/>
          <w:rtl w:val="0"/>
        </w:rPr>
        <w:t xml:space="preserve">Herbalife</w:t>
      </w:r>
      <w:r w:rsidDel="00000000" w:rsidR="00000000" w:rsidRPr="00000000">
        <w:rPr>
          <w:rtl w:val="0"/>
        </w:rPr>
        <w:t xml:space="preserve">. [online] 13 December. Available at: </w:t>
      </w:r>
      <w:hyperlink r:id="rId146">
        <w:r w:rsidDel="00000000" w:rsidR="00000000" w:rsidRPr="00000000">
          <w:rPr>
            <w:color w:val="0000ff"/>
            <w:u w:val="single"/>
            <w:rtl w:val="0"/>
          </w:rPr>
          <w:t xml:space="preserve">https://www.herbalife.com/en-in/wellness-resources/articles/entrepreneurship-in-the-health-and-wellness-space</w:t>
        </w:r>
      </w:hyperlink>
      <w:r w:rsidDel="00000000" w:rsidR="00000000" w:rsidRPr="00000000">
        <w:rPr>
          <w:rtl w:val="0"/>
        </w:rPr>
        <w:t xml:space="preserve"> [Accessed 18 May 2025].</w:t>
      </w:r>
    </w:p>
    <w:p w:rsidR="00000000" w:rsidDel="00000000" w:rsidP="00000000" w:rsidRDefault="00000000" w:rsidRPr="00000000" w14:paraId="000017CF">
      <w:pPr>
        <w:spacing w:after="280" w:before="280" w:lineRule="auto"/>
        <w:jc w:val="both"/>
        <w:rPr/>
      </w:pPr>
      <w:r w:rsidDel="00000000" w:rsidR="00000000" w:rsidRPr="00000000">
        <w:rPr>
          <w:rtl w:val="0"/>
        </w:rPr>
        <w:t xml:space="preserve">Kistner, A., 2023. Hard vs soft chambers hyperbaric oxygen therapy chambers. </w:t>
      </w:r>
      <w:r w:rsidDel="00000000" w:rsidR="00000000" w:rsidRPr="00000000">
        <w:rPr>
          <w:i w:val="1"/>
          <w:rtl w:val="0"/>
        </w:rPr>
        <w:t xml:space="preserve">The Oxford Center</w:t>
      </w:r>
      <w:r w:rsidDel="00000000" w:rsidR="00000000" w:rsidRPr="00000000">
        <w:rPr>
          <w:rtl w:val="0"/>
        </w:rPr>
        <w:t xml:space="preserve">. [online] 10 February. Available at: </w:t>
      </w:r>
      <w:hyperlink r:id="rId147">
        <w:r w:rsidDel="00000000" w:rsidR="00000000" w:rsidRPr="00000000">
          <w:rPr>
            <w:color w:val="0000ff"/>
            <w:u w:val="single"/>
            <w:rtl w:val="0"/>
          </w:rPr>
          <w:t xml:space="preserve">https://theoxfordcenter.com/news/hard-vs-soft-chambers-hyperbaric-oxygen-therapy-chambers/</w:t>
        </w:r>
      </w:hyperlink>
      <w:r w:rsidDel="00000000" w:rsidR="00000000" w:rsidRPr="00000000">
        <w:rPr>
          <w:rtl w:val="0"/>
        </w:rPr>
        <w:t xml:space="preserve"> [Accessed 18 May 2025].</w:t>
      </w:r>
    </w:p>
    <w:p w:rsidR="00000000" w:rsidDel="00000000" w:rsidP="00000000" w:rsidRDefault="00000000" w:rsidRPr="00000000" w14:paraId="000017D0">
      <w:pPr>
        <w:spacing w:after="280" w:before="280" w:lineRule="auto"/>
        <w:jc w:val="both"/>
        <w:rPr/>
      </w:pPr>
      <w:r w:rsidDel="00000000" w:rsidR="00000000" w:rsidRPr="00000000">
        <w:rPr>
          <w:rtl w:val="0"/>
        </w:rPr>
        <w:t xml:space="preserve">Köhler, C., Bartschke, A., Fürstenau, D., Schaaf, T. and Salgado-Baez, E., 2024. The value of smartwatches in the health care sector for monitoring, nudging, and predicting: Viewpoint on 25 years of research. </w:t>
      </w:r>
      <w:r w:rsidDel="00000000" w:rsidR="00000000" w:rsidRPr="00000000">
        <w:rPr>
          <w:i w:val="1"/>
          <w:rtl w:val="0"/>
        </w:rPr>
        <w:t xml:space="preserve">Journal of Medical Internet Research</w:t>
      </w:r>
      <w:r w:rsidDel="00000000" w:rsidR="00000000" w:rsidRPr="00000000">
        <w:rPr>
          <w:rtl w:val="0"/>
        </w:rPr>
        <w:t xml:space="preserve">, 26, e58936. </w:t>
      </w:r>
      <w:hyperlink r:id="rId148">
        <w:r w:rsidDel="00000000" w:rsidR="00000000" w:rsidRPr="00000000">
          <w:rPr>
            <w:color w:val="0000ff"/>
            <w:u w:val="single"/>
            <w:rtl w:val="0"/>
          </w:rPr>
          <w:t xml:space="preserve">https://doi.org/10.2196/58936</w:t>
        </w:r>
      </w:hyperlink>
      <w:r w:rsidDel="00000000" w:rsidR="00000000" w:rsidRPr="00000000">
        <w:rPr>
          <w:rtl w:val="0"/>
        </w:rPr>
      </w:r>
    </w:p>
    <w:p w:rsidR="00000000" w:rsidDel="00000000" w:rsidP="00000000" w:rsidRDefault="00000000" w:rsidRPr="00000000" w14:paraId="000017D1">
      <w:pPr>
        <w:spacing w:after="280" w:before="280" w:lineRule="auto"/>
        <w:jc w:val="both"/>
        <w:rPr/>
      </w:pPr>
      <w:r w:rsidDel="00000000" w:rsidR="00000000" w:rsidRPr="00000000">
        <w:rPr>
          <w:rtl w:val="0"/>
        </w:rPr>
        <w:t xml:space="preserve">Kulkov, I., Ivanova-Gongne, M., Bertello, A., Makkonen, H., Kulkova, J., Rohrbeck, R. and Ferraris, A., 2023. Technology entrepreneurship in healthcare: Challenges and opportunities for value creation. </w:t>
      </w:r>
      <w:r w:rsidDel="00000000" w:rsidR="00000000" w:rsidRPr="00000000">
        <w:rPr>
          <w:i w:val="1"/>
          <w:rtl w:val="0"/>
        </w:rPr>
        <w:t xml:space="preserve">Journal of Innovation &amp; Knowledge</w:t>
      </w:r>
      <w:r w:rsidDel="00000000" w:rsidR="00000000" w:rsidRPr="00000000">
        <w:rPr>
          <w:rtl w:val="0"/>
        </w:rPr>
        <w:t xml:space="preserve">, 8(2), 100365. </w:t>
      </w:r>
      <w:hyperlink r:id="rId149">
        <w:r w:rsidDel="00000000" w:rsidR="00000000" w:rsidRPr="00000000">
          <w:rPr>
            <w:color w:val="0000ff"/>
            <w:u w:val="single"/>
            <w:rtl w:val="0"/>
          </w:rPr>
          <w:t xml:space="preserve">https://doi.org/10.1016/j.jik.2023.100365</w:t>
        </w:r>
      </w:hyperlink>
      <w:r w:rsidDel="00000000" w:rsidR="00000000" w:rsidRPr="00000000">
        <w:rPr>
          <w:rtl w:val="0"/>
        </w:rPr>
      </w:r>
    </w:p>
    <w:p w:rsidR="00000000" w:rsidDel="00000000" w:rsidP="00000000" w:rsidRDefault="00000000" w:rsidRPr="00000000" w14:paraId="000017D2">
      <w:pPr>
        <w:spacing w:after="280" w:before="280" w:lineRule="auto"/>
        <w:jc w:val="both"/>
        <w:rPr/>
      </w:pPr>
      <w:r w:rsidDel="00000000" w:rsidR="00000000" w:rsidRPr="00000000">
        <w:rPr>
          <w:rtl w:val="0"/>
        </w:rPr>
        <w:t xml:space="preserve">Kunnumakkara, A.B., Hegde, M., Parama, D., Girisa, S., Kumar, A., Daimary, U.D., Garodia, P., Yenisetti, S.C., Oommen, O.V. and Aggarwal, B.B., 2023. Role of turmeric and curcumin in prevention and treatment of chronic diseases: Lessons learned from clinical trials. </w:t>
      </w:r>
      <w:r w:rsidDel="00000000" w:rsidR="00000000" w:rsidRPr="00000000">
        <w:rPr>
          <w:i w:val="1"/>
          <w:rtl w:val="0"/>
        </w:rPr>
        <w:t xml:space="preserve">ACS Pharmacology &amp; Translational Science</w:t>
      </w:r>
      <w:r w:rsidDel="00000000" w:rsidR="00000000" w:rsidRPr="00000000">
        <w:rPr>
          <w:rtl w:val="0"/>
        </w:rPr>
        <w:t xml:space="preserve">, 6(4), pp.447–518. </w:t>
      </w:r>
      <w:hyperlink r:id="rId150">
        <w:r w:rsidDel="00000000" w:rsidR="00000000" w:rsidRPr="00000000">
          <w:rPr>
            <w:color w:val="0000ff"/>
            <w:u w:val="single"/>
            <w:rtl w:val="0"/>
          </w:rPr>
          <w:t xml:space="preserve">https://doi.org/10.1021/acsptsci.2c00012</w:t>
        </w:r>
      </w:hyperlink>
      <w:r w:rsidDel="00000000" w:rsidR="00000000" w:rsidRPr="00000000">
        <w:rPr>
          <w:rtl w:val="0"/>
        </w:rPr>
      </w:r>
    </w:p>
    <w:p w:rsidR="00000000" w:rsidDel="00000000" w:rsidP="00000000" w:rsidRDefault="00000000" w:rsidRPr="00000000" w14:paraId="000017D3">
      <w:pPr>
        <w:spacing w:after="280" w:before="280" w:lineRule="auto"/>
        <w:jc w:val="both"/>
        <w:rPr/>
      </w:pPr>
      <w:r w:rsidDel="00000000" w:rsidR="00000000" w:rsidRPr="00000000">
        <w:rPr>
          <w:rtl w:val="0"/>
        </w:rPr>
        <w:t xml:space="preserve">Kunutsor, S.K., Lehoczki, A. and Laukkanen, J.A., 2025. The untapped potential of cold water therapy as part of a lifestyle intervention for promoting healthy aging. </w:t>
      </w:r>
      <w:r w:rsidDel="00000000" w:rsidR="00000000" w:rsidRPr="00000000">
        <w:rPr>
          <w:i w:val="1"/>
          <w:rtl w:val="0"/>
        </w:rPr>
        <w:t xml:space="preserve">GeroScience</w:t>
      </w:r>
      <w:r w:rsidDel="00000000" w:rsidR="00000000" w:rsidRPr="00000000">
        <w:rPr>
          <w:rtl w:val="0"/>
        </w:rPr>
        <w:t xml:space="preserve">, 47(1), pp.387–407. </w:t>
      </w:r>
      <w:hyperlink r:id="rId151">
        <w:r w:rsidDel="00000000" w:rsidR="00000000" w:rsidRPr="00000000">
          <w:rPr>
            <w:color w:val="0000ff"/>
            <w:u w:val="single"/>
            <w:rtl w:val="0"/>
          </w:rPr>
          <w:t xml:space="preserve">https://doi.org/10.1007/s11357-024-01295-w</w:t>
        </w:r>
      </w:hyperlink>
      <w:r w:rsidDel="00000000" w:rsidR="00000000" w:rsidRPr="00000000">
        <w:rPr>
          <w:rtl w:val="0"/>
        </w:rPr>
      </w:r>
    </w:p>
    <w:p w:rsidR="00000000" w:rsidDel="00000000" w:rsidP="00000000" w:rsidRDefault="00000000" w:rsidRPr="00000000" w14:paraId="000017D4">
      <w:pPr>
        <w:spacing w:after="280" w:before="280" w:lineRule="auto"/>
        <w:jc w:val="both"/>
        <w:rPr/>
      </w:pPr>
      <w:r w:rsidDel="00000000" w:rsidR="00000000" w:rsidRPr="00000000">
        <w:rPr>
          <w:rtl w:val="0"/>
        </w:rPr>
        <w:t xml:space="preserve">Kwiecien, S. and McHugh, M., 2021. The cold truth: The role of cryotherapy in the treatment of injury and recovery from exercise. </w:t>
      </w:r>
      <w:r w:rsidDel="00000000" w:rsidR="00000000" w:rsidRPr="00000000">
        <w:rPr>
          <w:i w:val="1"/>
          <w:rtl w:val="0"/>
        </w:rPr>
        <w:t xml:space="preserve">European Journal of Applied Physiology</w:t>
      </w:r>
      <w:r w:rsidDel="00000000" w:rsidR="00000000" w:rsidRPr="00000000">
        <w:rPr>
          <w:rtl w:val="0"/>
        </w:rPr>
        <w:t xml:space="preserve">, 121. </w:t>
      </w:r>
      <w:hyperlink r:id="rId152">
        <w:r w:rsidDel="00000000" w:rsidR="00000000" w:rsidRPr="00000000">
          <w:rPr>
            <w:color w:val="0000ff"/>
            <w:u w:val="single"/>
            <w:rtl w:val="0"/>
          </w:rPr>
          <w:t xml:space="preserve">https://doi.org/10.1007/s00421-021-04683-8</w:t>
        </w:r>
      </w:hyperlink>
      <w:r w:rsidDel="00000000" w:rsidR="00000000" w:rsidRPr="00000000">
        <w:rPr>
          <w:rtl w:val="0"/>
        </w:rPr>
      </w:r>
    </w:p>
    <w:p w:rsidR="00000000" w:rsidDel="00000000" w:rsidP="00000000" w:rsidRDefault="00000000" w:rsidRPr="00000000" w14:paraId="000017D5">
      <w:pPr>
        <w:spacing w:after="280" w:before="280" w:lineRule="auto"/>
        <w:jc w:val="both"/>
        <w:rPr/>
      </w:pPr>
      <w:r w:rsidDel="00000000" w:rsidR="00000000" w:rsidRPr="00000000">
        <w:rPr>
          <w:rtl w:val="0"/>
        </w:rPr>
        <w:t xml:space="preserve">LaBoone, P.A. and Marques, O., 2024. Overview of the future impact of wearables and artificial intelligence in healthcare workflows and technology. </w:t>
      </w:r>
      <w:r w:rsidDel="00000000" w:rsidR="00000000" w:rsidRPr="00000000">
        <w:rPr>
          <w:i w:val="1"/>
          <w:rtl w:val="0"/>
        </w:rPr>
        <w:t xml:space="preserve">International Journal of Information Management Data Insights</w:t>
      </w:r>
      <w:r w:rsidDel="00000000" w:rsidR="00000000" w:rsidRPr="00000000">
        <w:rPr>
          <w:rtl w:val="0"/>
        </w:rPr>
        <w:t xml:space="preserve">, 4(2), 100294. </w:t>
      </w:r>
      <w:hyperlink r:id="rId153">
        <w:r w:rsidDel="00000000" w:rsidR="00000000" w:rsidRPr="00000000">
          <w:rPr>
            <w:color w:val="0000ff"/>
            <w:u w:val="single"/>
            <w:rtl w:val="0"/>
          </w:rPr>
          <w:t xml:space="preserve">https://doi.org/10.1016/j.jjimei.2024.100294</w:t>
        </w:r>
      </w:hyperlink>
      <w:r w:rsidDel="00000000" w:rsidR="00000000" w:rsidRPr="00000000">
        <w:rPr>
          <w:rtl w:val="0"/>
        </w:rPr>
      </w:r>
    </w:p>
    <w:p w:rsidR="00000000" w:rsidDel="00000000" w:rsidP="00000000" w:rsidRDefault="00000000" w:rsidRPr="00000000" w14:paraId="000017D6">
      <w:pPr>
        <w:spacing w:after="280" w:before="280" w:lineRule="auto"/>
        <w:jc w:val="both"/>
        <w:rPr/>
      </w:pPr>
      <w:r w:rsidDel="00000000" w:rsidR="00000000" w:rsidRPr="00000000">
        <w:rPr>
          <w:rtl w:val="0"/>
        </w:rPr>
        <w:t xml:space="preserve">LaCaille, L., 2020. Theory of reasoned action. In: M.D. Gellman, ed., </w:t>
      </w:r>
      <w:r w:rsidDel="00000000" w:rsidR="00000000" w:rsidRPr="00000000">
        <w:rPr>
          <w:i w:val="1"/>
          <w:rtl w:val="0"/>
        </w:rPr>
        <w:t xml:space="preserve">Encyclopedia of Behavioral Medicine</w:t>
      </w:r>
      <w:r w:rsidDel="00000000" w:rsidR="00000000" w:rsidRPr="00000000">
        <w:rPr>
          <w:rtl w:val="0"/>
        </w:rPr>
        <w:t xml:space="preserve">. Cham: Springer, pp.2231–2234.</w:t>
      </w:r>
    </w:p>
    <w:p w:rsidR="00000000" w:rsidDel="00000000" w:rsidP="00000000" w:rsidRDefault="00000000" w:rsidRPr="00000000" w14:paraId="000017D7">
      <w:pPr>
        <w:spacing w:after="280" w:before="280" w:lineRule="auto"/>
        <w:jc w:val="both"/>
        <w:rPr/>
      </w:pPr>
      <w:r w:rsidDel="00000000" w:rsidR="00000000" w:rsidRPr="00000000">
        <w:rPr>
          <w:rtl w:val="0"/>
        </w:rPr>
        <w:t xml:space="preserve">Lai, C.Y., Cheung, K.Y. and Chan, C.S., 2023. Exploring the role of intrinsic motivation in ChatGPT adoption to support active learning: An extension of the technology acceptance model. </w:t>
      </w:r>
      <w:r w:rsidDel="00000000" w:rsidR="00000000" w:rsidRPr="00000000">
        <w:rPr>
          <w:i w:val="1"/>
          <w:rtl w:val="0"/>
        </w:rPr>
        <w:t xml:space="preserve">Computers and Education: Artificial Intelligence</w:t>
      </w:r>
      <w:r w:rsidDel="00000000" w:rsidR="00000000" w:rsidRPr="00000000">
        <w:rPr>
          <w:rtl w:val="0"/>
        </w:rPr>
        <w:t xml:space="preserve">, 5, 100178. </w:t>
      </w:r>
      <w:hyperlink r:id="rId154">
        <w:r w:rsidDel="00000000" w:rsidR="00000000" w:rsidRPr="00000000">
          <w:rPr>
            <w:color w:val="0000ff"/>
            <w:u w:val="single"/>
            <w:rtl w:val="0"/>
          </w:rPr>
          <w:t xml:space="preserve">https://doi.org/10.1016/j.caeai.2023.100178</w:t>
        </w:r>
      </w:hyperlink>
      <w:r w:rsidDel="00000000" w:rsidR="00000000" w:rsidRPr="00000000">
        <w:rPr>
          <w:rtl w:val="0"/>
        </w:rPr>
      </w:r>
    </w:p>
    <w:p w:rsidR="00000000" w:rsidDel="00000000" w:rsidP="00000000" w:rsidRDefault="00000000" w:rsidRPr="00000000" w14:paraId="000017D8">
      <w:pPr>
        <w:spacing w:after="280" w:before="280" w:lineRule="auto"/>
        <w:jc w:val="both"/>
        <w:rPr/>
      </w:pPr>
      <w:r w:rsidDel="00000000" w:rsidR="00000000" w:rsidRPr="00000000">
        <w:rPr>
          <w:rtl w:val="0"/>
        </w:rPr>
        <w:t xml:space="preserve">Lambrew, J.M. and Podesta, J.D., 2006. Promoting prevention and preempting costs: A new wellness trust for the United States. </w:t>
      </w:r>
      <w:r w:rsidDel="00000000" w:rsidR="00000000" w:rsidRPr="00000000">
        <w:rPr>
          <w:i w:val="1"/>
          <w:rtl w:val="0"/>
        </w:rPr>
        <w:t xml:space="preserve">Center for American Progress</w:t>
      </w:r>
      <w:r w:rsidDel="00000000" w:rsidR="00000000" w:rsidRPr="00000000">
        <w:rPr>
          <w:rtl w:val="0"/>
        </w:rPr>
        <w:t xml:space="preserve">. [online] Available at: </w:t>
      </w:r>
      <w:hyperlink r:id="rId155">
        <w:r w:rsidDel="00000000" w:rsidR="00000000" w:rsidRPr="00000000">
          <w:rPr>
            <w:color w:val="0000ff"/>
            <w:u w:val="single"/>
            <w:rtl w:val="0"/>
          </w:rPr>
          <w:t xml:space="preserve">https://www.americanprogress.org/article/the-wellness-trust/</w:t>
        </w:r>
      </w:hyperlink>
      <w:r w:rsidDel="00000000" w:rsidR="00000000" w:rsidRPr="00000000">
        <w:rPr>
          <w:rtl w:val="0"/>
        </w:rPr>
        <w:t xml:space="preserve"> [Accessed 18 May 2025].</w:t>
      </w:r>
    </w:p>
    <w:p w:rsidR="00000000" w:rsidDel="00000000" w:rsidP="00000000" w:rsidRDefault="00000000" w:rsidRPr="00000000" w14:paraId="000017D9">
      <w:pPr>
        <w:spacing w:after="280" w:before="280" w:lineRule="auto"/>
        <w:jc w:val="both"/>
        <w:rPr/>
      </w:pPr>
      <w:r w:rsidDel="00000000" w:rsidR="00000000" w:rsidRPr="00000000">
        <w:rPr>
          <w:rtl w:val="0"/>
        </w:rPr>
        <w:t xml:space="preserve">Lambrew, J.M., 2007. A wellness trust to prioritize disease prevention. </w:t>
      </w:r>
      <w:r w:rsidDel="00000000" w:rsidR="00000000" w:rsidRPr="00000000">
        <w:rPr>
          <w:i w:val="1"/>
          <w:rtl w:val="0"/>
        </w:rPr>
        <w:t xml:space="preserve">The Brookings Institution</w:t>
      </w:r>
      <w:r w:rsidDel="00000000" w:rsidR="00000000" w:rsidRPr="00000000">
        <w:rPr>
          <w:rtl w:val="0"/>
        </w:rPr>
        <w:t xml:space="preserve">. [online] Available at: </w:t>
      </w:r>
      <w:hyperlink r:id="rId156">
        <w:r w:rsidDel="00000000" w:rsidR="00000000" w:rsidRPr="00000000">
          <w:rPr>
            <w:color w:val="0000ff"/>
            <w:u w:val="single"/>
            <w:rtl w:val="0"/>
          </w:rPr>
          <w:t xml:space="preserve">https://www.brookings.edu/articles/a-wellness-trust-to-prioritize-disease-prevention/</w:t>
        </w:r>
      </w:hyperlink>
      <w:r w:rsidDel="00000000" w:rsidR="00000000" w:rsidRPr="00000000">
        <w:rPr>
          <w:rtl w:val="0"/>
        </w:rPr>
        <w:t xml:space="preserve"> [Accessed 18 May 2025].</w:t>
      </w:r>
    </w:p>
    <w:p w:rsidR="00000000" w:rsidDel="00000000" w:rsidP="00000000" w:rsidRDefault="00000000" w:rsidRPr="00000000" w14:paraId="000017DA">
      <w:pPr>
        <w:spacing w:after="280" w:before="280" w:lineRule="auto"/>
        <w:jc w:val="both"/>
        <w:rPr/>
      </w:pPr>
      <w:r w:rsidDel="00000000" w:rsidR="00000000" w:rsidRPr="00000000">
        <w:rPr>
          <w:rtl w:val="0"/>
        </w:rPr>
        <w:t xml:space="preserve">Lee, J.-H. and Song, C.-H., 2013. Effects of trust and perceived risk on user acceptance of a new technology service. </w:t>
      </w:r>
      <w:r w:rsidDel="00000000" w:rsidR="00000000" w:rsidRPr="00000000">
        <w:rPr>
          <w:i w:val="1"/>
          <w:rtl w:val="0"/>
        </w:rPr>
        <w:t xml:space="preserve">Social Behavior and Personality: An International Journal</w:t>
      </w:r>
      <w:r w:rsidDel="00000000" w:rsidR="00000000" w:rsidRPr="00000000">
        <w:rPr>
          <w:rtl w:val="0"/>
        </w:rPr>
        <w:t xml:space="preserve">, 41(4), pp.587–597. </w:t>
      </w:r>
      <w:hyperlink r:id="rId157">
        <w:r w:rsidDel="00000000" w:rsidR="00000000" w:rsidRPr="00000000">
          <w:rPr>
            <w:color w:val="0000ff"/>
            <w:u w:val="single"/>
            <w:rtl w:val="0"/>
          </w:rPr>
          <w:t xml:space="preserve">https://doi.org/10.2224/sbp.2013.41.4.587</w:t>
        </w:r>
      </w:hyperlink>
      <w:r w:rsidDel="00000000" w:rsidR="00000000" w:rsidRPr="00000000">
        <w:rPr>
          <w:rtl w:val="0"/>
        </w:rPr>
      </w:r>
    </w:p>
    <w:p w:rsidR="00000000" w:rsidDel="00000000" w:rsidP="00000000" w:rsidRDefault="00000000" w:rsidRPr="00000000" w14:paraId="000017DB">
      <w:pPr>
        <w:spacing w:after="280" w:before="280" w:lineRule="auto"/>
        <w:jc w:val="both"/>
        <w:rPr/>
      </w:pPr>
      <w:r w:rsidDel="00000000" w:rsidR="00000000" w:rsidRPr="00000000">
        <w:rPr>
          <w:rtl w:val="0"/>
        </w:rPr>
        <w:t xml:space="preserve">Lee, J.-H., Lee, H.-Y., Sun, K.-H., Heo, T. and Lee, S.-M., 2025. Risk factors for middle ear barotrauma in patients with carbon monoxide poisoning undergoing monoplace hyperbaric oxygen therapy: A retrospective cohort study. </w:t>
      </w:r>
      <w:r w:rsidDel="00000000" w:rsidR="00000000" w:rsidRPr="00000000">
        <w:rPr>
          <w:i w:val="1"/>
          <w:rtl w:val="0"/>
        </w:rPr>
        <w:t xml:space="preserve">Journal of Clinical Medicine</w:t>
      </w:r>
      <w:r w:rsidDel="00000000" w:rsidR="00000000" w:rsidRPr="00000000">
        <w:rPr>
          <w:rtl w:val="0"/>
        </w:rPr>
        <w:t xml:space="preserve">, 14(9), 2984. </w:t>
      </w:r>
      <w:hyperlink r:id="rId158">
        <w:r w:rsidDel="00000000" w:rsidR="00000000" w:rsidRPr="00000000">
          <w:rPr>
            <w:color w:val="0000ff"/>
            <w:u w:val="single"/>
            <w:rtl w:val="0"/>
          </w:rPr>
          <w:t xml:space="preserve">https://doi.org/10.3390/jcm14092984</w:t>
        </w:r>
      </w:hyperlink>
      <w:r w:rsidDel="00000000" w:rsidR="00000000" w:rsidRPr="00000000">
        <w:rPr>
          <w:rtl w:val="0"/>
        </w:rPr>
      </w:r>
    </w:p>
    <w:p w:rsidR="00000000" w:rsidDel="00000000" w:rsidP="00000000" w:rsidRDefault="00000000" w:rsidRPr="00000000" w14:paraId="000017DC">
      <w:pPr>
        <w:spacing w:after="280" w:before="280" w:lineRule="auto"/>
        <w:jc w:val="both"/>
        <w:rPr/>
      </w:pPr>
      <w:r w:rsidDel="00000000" w:rsidR="00000000" w:rsidRPr="00000000">
        <w:rPr>
          <w:rtl w:val="0"/>
        </w:rPr>
        <w:t xml:space="preserve">Li, J., Wang, L., Pan, L., Hu, Z., Yin, R. and Liu, J.-F., 2024. Exercise motivation, physical exercise, and mental health among college students: Examining the predictive power of five different types of exercise motivation. </w:t>
      </w:r>
      <w:r w:rsidDel="00000000" w:rsidR="00000000" w:rsidRPr="00000000">
        <w:rPr>
          <w:i w:val="1"/>
          <w:rtl w:val="0"/>
        </w:rPr>
        <w:t xml:space="preserve">Frontiers in Psychology</w:t>
      </w:r>
      <w:r w:rsidDel="00000000" w:rsidR="00000000" w:rsidRPr="00000000">
        <w:rPr>
          <w:rtl w:val="0"/>
        </w:rPr>
        <w:t xml:space="preserve">, 15, Article 1356999. </w:t>
      </w:r>
      <w:hyperlink r:id="rId159">
        <w:r w:rsidDel="00000000" w:rsidR="00000000" w:rsidRPr="00000000">
          <w:rPr>
            <w:color w:val="0000ff"/>
            <w:u w:val="single"/>
            <w:rtl w:val="0"/>
          </w:rPr>
          <w:t xml:space="preserve">https://doi.org/10.3389/fpsyg.2024.1356999</w:t>
        </w:r>
      </w:hyperlink>
      <w:r w:rsidDel="00000000" w:rsidR="00000000" w:rsidRPr="00000000">
        <w:rPr>
          <w:rtl w:val="0"/>
        </w:rPr>
      </w:r>
    </w:p>
    <w:p w:rsidR="00000000" w:rsidDel="00000000" w:rsidP="00000000" w:rsidRDefault="00000000" w:rsidRPr="00000000" w14:paraId="000017DD">
      <w:pPr>
        <w:spacing w:after="280" w:before="280" w:lineRule="auto"/>
        <w:jc w:val="both"/>
        <w:rPr/>
      </w:pPr>
      <w:r w:rsidDel="00000000" w:rsidR="00000000" w:rsidRPr="00000000">
        <w:rPr>
          <w:rtl w:val="0"/>
        </w:rPr>
        <w:t xml:space="preserve">Lim, N., 2003. Consumers’ perceived risk: Sources versus consequences. </w:t>
      </w:r>
      <w:r w:rsidDel="00000000" w:rsidR="00000000" w:rsidRPr="00000000">
        <w:rPr>
          <w:i w:val="1"/>
          <w:rtl w:val="0"/>
        </w:rPr>
        <w:t xml:space="preserve">Electronic Commerce Research and Applications</w:t>
      </w:r>
      <w:r w:rsidDel="00000000" w:rsidR="00000000" w:rsidRPr="00000000">
        <w:rPr>
          <w:rtl w:val="0"/>
        </w:rPr>
        <w:t xml:space="preserve">, 2(3), pp.216–228. </w:t>
      </w:r>
      <w:hyperlink r:id="rId160">
        <w:r w:rsidDel="00000000" w:rsidR="00000000" w:rsidRPr="00000000">
          <w:rPr>
            <w:color w:val="0000ff"/>
            <w:u w:val="single"/>
            <w:rtl w:val="0"/>
          </w:rPr>
          <w:t xml:space="preserve">https://doi.org/10.1016/S1567-4223(03)00025-5</w:t>
        </w:r>
      </w:hyperlink>
      <w:r w:rsidDel="00000000" w:rsidR="00000000" w:rsidRPr="00000000">
        <w:rPr>
          <w:rtl w:val="0"/>
        </w:rPr>
      </w:r>
    </w:p>
    <w:p w:rsidR="00000000" w:rsidDel="00000000" w:rsidP="00000000" w:rsidRDefault="00000000" w:rsidRPr="00000000" w14:paraId="000017DE">
      <w:pPr>
        <w:spacing w:after="280" w:before="280" w:lineRule="auto"/>
        <w:jc w:val="both"/>
        <w:rPr/>
      </w:pPr>
      <w:r w:rsidDel="00000000" w:rsidR="00000000" w:rsidRPr="00000000">
        <w:rPr>
          <w:rtl w:val="0"/>
        </w:rPr>
        <w:t xml:space="preserve">Lombardi, G., Ziemann, E. and Banfi, G., 2017. Whole-body cryotherapy in athletes: From therapy to stimulation. An updated review of the literature. </w:t>
      </w:r>
      <w:r w:rsidDel="00000000" w:rsidR="00000000" w:rsidRPr="00000000">
        <w:rPr>
          <w:i w:val="1"/>
          <w:rtl w:val="0"/>
        </w:rPr>
        <w:t xml:space="preserve">Frontiers in Physiology</w:t>
      </w:r>
      <w:r w:rsidDel="00000000" w:rsidR="00000000" w:rsidRPr="00000000">
        <w:rPr>
          <w:rtl w:val="0"/>
        </w:rPr>
        <w:t xml:space="preserve">, 8, 258. </w:t>
      </w:r>
      <w:hyperlink r:id="rId161">
        <w:r w:rsidDel="00000000" w:rsidR="00000000" w:rsidRPr="00000000">
          <w:rPr>
            <w:color w:val="0000ff"/>
            <w:u w:val="single"/>
            <w:rtl w:val="0"/>
          </w:rPr>
          <w:t xml:space="preserve">https://doi.org/10.3389/fphys.2017.00258</w:t>
        </w:r>
      </w:hyperlink>
      <w:r w:rsidDel="00000000" w:rsidR="00000000" w:rsidRPr="00000000">
        <w:rPr>
          <w:rtl w:val="0"/>
        </w:rPr>
      </w:r>
    </w:p>
    <w:p w:rsidR="00000000" w:rsidDel="00000000" w:rsidP="00000000" w:rsidRDefault="00000000" w:rsidRPr="00000000" w14:paraId="000017DF">
      <w:pPr>
        <w:spacing w:after="280" w:before="280" w:lineRule="auto"/>
        <w:jc w:val="both"/>
        <w:rPr/>
      </w:pPr>
      <w:r w:rsidDel="00000000" w:rsidR="00000000" w:rsidRPr="00000000">
        <w:rPr>
          <w:rtl w:val="0"/>
        </w:rPr>
        <w:t xml:space="preserve">Ma, Q. and Liu, L., 2005. The technology acceptance model. In: D. Galletta and P. Zhang, eds. </w:t>
      </w:r>
      <w:r w:rsidDel="00000000" w:rsidR="00000000" w:rsidRPr="00000000">
        <w:rPr>
          <w:i w:val="1"/>
          <w:rtl w:val="0"/>
        </w:rPr>
        <w:t xml:space="preserve">Human-computer interaction and management information systems: Foundations</w:t>
      </w:r>
      <w:r w:rsidDel="00000000" w:rsidR="00000000" w:rsidRPr="00000000">
        <w:rPr>
          <w:rtl w:val="0"/>
        </w:rPr>
        <w:t xml:space="preserve">. Hershey, PA: IGI Global, Chapter 6. </w:t>
      </w:r>
      <w:hyperlink r:id="rId162">
        <w:r w:rsidDel="00000000" w:rsidR="00000000" w:rsidRPr="00000000">
          <w:rPr>
            <w:color w:val="0000ff"/>
            <w:u w:val="single"/>
            <w:rtl w:val="0"/>
          </w:rPr>
          <w:t xml:space="preserve">https://doi.org/10.4018/9781591404743.ch006.ch000</w:t>
        </w:r>
      </w:hyperlink>
      <w:r w:rsidDel="00000000" w:rsidR="00000000" w:rsidRPr="00000000">
        <w:rPr>
          <w:rtl w:val="0"/>
        </w:rPr>
      </w:r>
    </w:p>
    <w:p w:rsidR="00000000" w:rsidDel="00000000" w:rsidP="00000000" w:rsidRDefault="00000000" w:rsidRPr="00000000" w14:paraId="000017E0">
      <w:pPr>
        <w:spacing w:after="280" w:before="280" w:lineRule="auto"/>
        <w:jc w:val="both"/>
        <w:rPr/>
      </w:pPr>
      <w:r w:rsidDel="00000000" w:rsidR="00000000" w:rsidRPr="00000000">
        <w:rPr>
          <w:rtl w:val="0"/>
        </w:rPr>
        <w:t xml:space="preserve">Maghfour, J., Ozog, D.M., Mineroff, J., Jagdeo, J., Kohli, I. and Lim, H.W., 2024. Photobiomodulation CME part I: Overview and mechanism of action. </w:t>
      </w:r>
      <w:r w:rsidDel="00000000" w:rsidR="00000000" w:rsidRPr="00000000">
        <w:rPr>
          <w:i w:val="1"/>
          <w:rtl w:val="0"/>
        </w:rPr>
        <w:t xml:space="preserve">Journal of the American Academy of Dermatology</w:t>
      </w:r>
      <w:r w:rsidDel="00000000" w:rsidR="00000000" w:rsidRPr="00000000">
        <w:rPr>
          <w:rtl w:val="0"/>
        </w:rPr>
        <w:t xml:space="preserve">, 91(5), pp.793–802. </w:t>
      </w:r>
      <w:hyperlink r:id="rId163">
        <w:r w:rsidDel="00000000" w:rsidR="00000000" w:rsidRPr="00000000">
          <w:rPr>
            <w:color w:val="0000ff"/>
            <w:u w:val="single"/>
            <w:rtl w:val="0"/>
          </w:rPr>
          <w:t xml:space="preserve">https://doi.org/10.1016/j.jaad.2023.10.073</w:t>
        </w:r>
      </w:hyperlink>
      <w:r w:rsidDel="00000000" w:rsidR="00000000" w:rsidRPr="00000000">
        <w:rPr>
          <w:rtl w:val="0"/>
        </w:rPr>
      </w:r>
    </w:p>
    <w:p w:rsidR="00000000" w:rsidDel="00000000" w:rsidP="00000000" w:rsidRDefault="00000000" w:rsidRPr="00000000" w14:paraId="000017E1">
      <w:pPr>
        <w:spacing w:after="280" w:before="280" w:lineRule="auto"/>
        <w:jc w:val="both"/>
        <w:rPr/>
      </w:pPr>
      <w:r w:rsidDel="00000000" w:rsidR="00000000" w:rsidRPr="00000000">
        <w:rPr>
          <w:rtl w:val="0"/>
        </w:rPr>
        <w:t xml:space="preserve">Mahajan, A., Heydari, K. and Powell, D., 2025. Wearable AI to enhance patient safety and clinical decision-making. </w:t>
      </w:r>
      <w:r w:rsidDel="00000000" w:rsidR="00000000" w:rsidRPr="00000000">
        <w:rPr>
          <w:i w:val="1"/>
          <w:rtl w:val="0"/>
        </w:rPr>
        <w:t xml:space="preserve">NPJ Digital Medicine</w:t>
      </w:r>
      <w:r w:rsidDel="00000000" w:rsidR="00000000" w:rsidRPr="00000000">
        <w:rPr>
          <w:rtl w:val="0"/>
        </w:rPr>
        <w:t xml:space="preserve">, 8(1), 176. </w:t>
      </w:r>
      <w:hyperlink r:id="rId164">
        <w:r w:rsidDel="00000000" w:rsidR="00000000" w:rsidRPr="00000000">
          <w:rPr>
            <w:color w:val="0000ff"/>
            <w:u w:val="single"/>
            <w:rtl w:val="0"/>
          </w:rPr>
          <w:t xml:space="preserve">https://doi.org/10.1038/s41746-025-01554-w</w:t>
        </w:r>
      </w:hyperlink>
      <w:r w:rsidDel="00000000" w:rsidR="00000000" w:rsidRPr="00000000">
        <w:rPr>
          <w:rtl w:val="0"/>
        </w:rPr>
      </w:r>
    </w:p>
    <w:p w:rsidR="00000000" w:rsidDel="00000000" w:rsidP="00000000" w:rsidRDefault="00000000" w:rsidRPr="00000000" w14:paraId="000017E2">
      <w:pPr>
        <w:spacing w:after="280" w:before="280" w:lineRule="auto"/>
        <w:jc w:val="both"/>
        <w:rPr/>
      </w:pPr>
      <w:r w:rsidDel="00000000" w:rsidR="00000000" w:rsidRPr="00000000">
        <w:rPr>
          <w:rtl w:val="0"/>
        </w:rPr>
        <w:t xml:space="preserve">Mainous, A.G., Tanner, R.J., Harle, C.A. and Baker, R., 2019. Attitudes toward health care providers, health care systems, and health care in general: What predicts mistrust in health care? </w:t>
      </w:r>
      <w:r w:rsidDel="00000000" w:rsidR="00000000" w:rsidRPr="00000000">
        <w:rPr>
          <w:i w:val="1"/>
          <w:rtl w:val="0"/>
        </w:rPr>
        <w:t xml:space="preserve">Southern Medical Journal</w:t>
      </w:r>
      <w:r w:rsidDel="00000000" w:rsidR="00000000" w:rsidRPr="00000000">
        <w:rPr>
          <w:rtl w:val="0"/>
        </w:rPr>
        <w:t xml:space="preserve">, 112(2), pp.78–82.</w:t>
      </w:r>
    </w:p>
    <w:p w:rsidR="00000000" w:rsidDel="00000000" w:rsidP="00000000" w:rsidRDefault="00000000" w:rsidRPr="00000000" w14:paraId="000017E3">
      <w:pPr>
        <w:spacing w:after="280" w:before="280" w:lineRule="auto"/>
        <w:jc w:val="both"/>
        <w:rPr/>
      </w:pPr>
      <w:r w:rsidDel="00000000" w:rsidR="00000000" w:rsidRPr="00000000">
        <w:rPr>
          <w:rtl w:val="0"/>
        </w:rPr>
        <w:t xml:space="preserve">Manninen, M., Dishman, R., Hwang, Y., Magrum, E., Deng, Y. and Yli-Piipari, S., 2022. Self-determination theory based instructional interventions and motivational regulations in organized physical activity: A systematic review and multivariate meta-analysis. </w:t>
      </w:r>
      <w:r w:rsidDel="00000000" w:rsidR="00000000" w:rsidRPr="00000000">
        <w:rPr>
          <w:i w:val="1"/>
          <w:rtl w:val="0"/>
        </w:rPr>
        <w:t xml:space="preserve">Psychology of Sport and Exercise</w:t>
      </w:r>
      <w:r w:rsidDel="00000000" w:rsidR="00000000" w:rsidRPr="00000000">
        <w:rPr>
          <w:rtl w:val="0"/>
        </w:rPr>
        <w:t xml:space="preserve">, 62, 102248. </w:t>
      </w:r>
      <w:hyperlink r:id="rId165">
        <w:r w:rsidDel="00000000" w:rsidR="00000000" w:rsidRPr="00000000">
          <w:rPr>
            <w:color w:val="0000ff"/>
            <w:u w:val="single"/>
            <w:rtl w:val="0"/>
          </w:rPr>
          <w:t xml:space="preserve">https://doi.org/10.1016/j.psychsport.2022.102248</w:t>
        </w:r>
      </w:hyperlink>
      <w:r w:rsidDel="00000000" w:rsidR="00000000" w:rsidRPr="00000000">
        <w:rPr>
          <w:rtl w:val="0"/>
        </w:rPr>
      </w:r>
    </w:p>
    <w:p w:rsidR="00000000" w:rsidDel="00000000" w:rsidP="00000000" w:rsidRDefault="00000000" w:rsidRPr="00000000" w14:paraId="000017E4">
      <w:pPr>
        <w:spacing w:after="280" w:before="280" w:lineRule="auto"/>
        <w:jc w:val="both"/>
        <w:rPr/>
      </w:pPr>
      <w:r w:rsidDel="00000000" w:rsidR="00000000" w:rsidRPr="00000000">
        <w:rPr>
          <w:rtl w:val="0"/>
        </w:rPr>
        <w:t xml:space="preserve">Marra, C., Chico, T., Alexandrow, A., Dixon, W.G., Briffa, N., Rainaldi, E., Little, M.A., Size, K., Tsanas, A., Franklin, J.B., Kapur, R., Grice, H., Gariban, A., Ellery, J., Sudlow, C., Abernethy, A.P. and Morris, A., 2025. Addressing the challenges of integrating digital health technologies to measure patient-centred outcomes in clinical registries. </w:t>
      </w:r>
      <w:r w:rsidDel="00000000" w:rsidR="00000000" w:rsidRPr="00000000">
        <w:rPr>
          <w:i w:val="1"/>
          <w:rtl w:val="0"/>
        </w:rPr>
        <w:t xml:space="preserve">The Lancet Digital Health</w:t>
      </w:r>
      <w:r w:rsidDel="00000000" w:rsidR="00000000" w:rsidRPr="00000000">
        <w:rPr>
          <w:rtl w:val="0"/>
        </w:rPr>
        <w:t xml:space="preserve">, 7(3), pp.e225–e231. </w:t>
      </w:r>
      <w:hyperlink r:id="rId166">
        <w:r w:rsidDel="00000000" w:rsidR="00000000" w:rsidRPr="00000000">
          <w:rPr>
            <w:color w:val="0000ff"/>
            <w:u w:val="single"/>
            <w:rtl w:val="0"/>
          </w:rPr>
          <w:t xml:space="preserve">https://doi.org/10.1016/S2589-7500(24)00223-1</w:t>
        </w:r>
      </w:hyperlink>
      <w:r w:rsidDel="00000000" w:rsidR="00000000" w:rsidRPr="00000000">
        <w:rPr>
          <w:rtl w:val="0"/>
        </w:rPr>
      </w:r>
    </w:p>
    <w:p w:rsidR="00000000" w:rsidDel="00000000" w:rsidP="00000000" w:rsidRDefault="00000000" w:rsidRPr="00000000" w14:paraId="000017E5">
      <w:pPr>
        <w:spacing w:after="280" w:before="280" w:lineRule="auto"/>
        <w:jc w:val="both"/>
        <w:rPr/>
      </w:pPr>
      <w:r w:rsidDel="00000000" w:rsidR="00000000" w:rsidRPr="00000000">
        <w:rPr>
          <w:rtl w:val="0"/>
        </w:rPr>
        <w:t xml:space="preserve">Medicare Payment Advisory Commission, 2016. </w:t>
      </w:r>
      <w:r w:rsidDel="00000000" w:rsidR="00000000" w:rsidRPr="00000000">
        <w:rPr>
          <w:i w:val="1"/>
          <w:rtl w:val="0"/>
        </w:rPr>
        <w:t xml:space="preserve">Health care spending and the Medicare program: A data book</w:t>
      </w:r>
      <w:r w:rsidDel="00000000" w:rsidR="00000000" w:rsidRPr="00000000">
        <w:rPr>
          <w:rtl w:val="0"/>
        </w:rPr>
        <w:t xml:space="preserve">. [pdf] Available at: </w:t>
      </w:r>
      <w:hyperlink r:id="rId167">
        <w:r w:rsidDel="00000000" w:rsidR="00000000" w:rsidRPr="00000000">
          <w:rPr>
            <w:color w:val="0000ff"/>
            <w:u w:val="single"/>
            <w:rtl w:val="0"/>
          </w:rPr>
          <w:t xml:space="preserve">http://www.medpac.gov/documents/data-book/june-2016-data-book-health-care-spending-and-the-medicare-program.pdf?sfvrsn=0</w:t>
        </w:r>
      </w:hyperlink>
      <w:r w:rsidDel="00000000" w:rsidR="00000000" w:rsidRPr="00000000">
        <w:rPr>
          <w:rtl w:val="0"/>
        </w:rPr>
        <w:t xml:space="preserve"> [Accessed 18 May 2025].</w:t>
      </w:r>
    </w:p>
    <w:p w:rsidR="00000000" w:rsidDel="00000000" w:rsidP="00000000" w:rsidRDefault="00000000" w:rsidRPr="00000000" w14:paraId="000017E6">
      <w:pPr>
        <w:spacing w:after="280" w:before="280" w:lineRule="auto"/>
        <w:jc w:val="both"/>
        <w:rPr/>
      </w:pPr>
      <w:r w:rsidDel="00000000" w:rsidR="00000000" w:rsidRPr="00000000">
        <w:rPr>
          <w:rtl w:val="0"/>
        </w:rPr>
        <w:t xml:space="preserve">Mehrotra, N.V., 2024. Biohacking and the race to become superhuman. </w:t>
      </w:r>
      <w:r w:rsidDel="00000000" w:rsidR="00000000" w:rsidRPr="00000000">
        <w:rPr>
          <w:i w:val="1"/>
          <w:rtl w:val="0"/>
        </w:rPr>
        <w:t xml:space="preserve">The Hindu</w:t>
      </w:r>
      <w:r w:rsidDel="00000000" w:rsidR="00000000" w:rsidRPr="00000000">
        <w:rPr>
          <w:rtl w:val="0"/>
        </w:rPr>
        <w:t xml:space="preserve">. [online] 26 April. Available at: </w:t>
      </w:r>
      <w:hyperlink r:id="rId168">
        <w:r w:rsidDel="00000000" w:rsidR="00000000" w:rsidRPr="00000000">
          <w:rPr>
            <w:color w:val="0000ff"/>
            <w:u w:val="single"/>
            <w:rtl w:val="0"/>
          </w:rPr>
          <w:t xml:space="preserve">https://www.thehindu.com/sci-tech/health/biohacking-race-to-become-superhuman-jag-chima-bryan-johnson-blueprint/article68101111.ece</w:t>
        </w:r>
      </w:hyperlink>
      <w:r w:rsidDel="00000000" w:rsidR="00000000" w:rsidRPr="00000000">
        <w:rPr>
          <w:rtl w:val="0"/>
        </w:rPr>
        <w:t xml:space="preserve"> [Accessed 18 May 2025].</w:t>
      </w:r>
    </w:p>
    <w:p w:rsidR="00000000" w:rsidDel="00000000" w:rsidP="00000000" w:rsidRDefault="00000000" w:rsidRPr="00000000" w14:paraId="000017E7">
      <w:pPr>
        <w:spacing w:after="280" w:before="280" w:lineRule="auto"/>
        <w:jc w:val="both"/>
        <w:rPr/>
      </w:pPr>
      <w:r w:rsidDel="00000000" w:rsidR="00000000" w:rsidRPr="00000000">
        <w:rPr>
          <w:rtl w:val="0"/>
        </w:rPr>
        <w:t xml:space="preserve">Mennella, C., Maniscalco, U., De Pietro, G. and Esposito, M., 2024. Ethical and regulatory challenges of AI technologies in healthcare: A narrative review. </w:t>
      </w:r>
      <w:r w:rsidDel="00000000" w:rsidR="00000000" w:rsidRPr="00000000">
        <w:rPr>
          <w:i w:val="1"/>
          <w:rtl w:val="0"/>
        </w:rPr>
        <w:t xml:space="preserve">Heliyon</w:t>
      </w:r>
      <w:r w:rsidDel="00000000" w:rsidR="00000000" w:rsidRPr="00000000">
        <w:rPr>
          <w:rtl w:val="0"/>
        </w:rPr>
        <w:t xml:space="preserve">, 10(4), e26297. </w:t>
      </w:r>
      <w:hyperlink r:id="rId169">
        <w:r w:rsidDel="00000000" w:rsidR="00000000" w:rsidRPr="00000000">
          <w:rPr>
            <w:color w:val="0000ff"/>
            <w:u w:val="single"/>
            <w:rtl w:val="0"/>
          </w:rPr>
          <w:t xml:space="preserve">https://doi.org/10.1016/j.heliyon.2024.e26297</w:t>
        </w:r>
      </w:hyperlink>
      <w:r w:rsidDel="00000000" w:rsidR="00000000" w:rsidRPr="00000000">
        <w:rPr>
          <w:rtl w:val="0"/>
        </w:rPr>
      </w:r>
    </w:p>
    <w:p w:rsidR="00000000" w:rsidDel="00000000" w:rsidP="00000000" w:rsidRDefault="00000000" w:rsidRPr="00000000" w14:paraId="000017E8">
      <w:pPr>
        <w:spacing w:after="280" w:before="280" w:lineRule="auto"/>
        <w:jc w:val="both"/>
        <w:rPr/>
      </w:pPr>
      <w:r w:rsidDel="00000000" w:rsidR="00000000" w:rsidRPr="00000000">
        <w:rPr>
          <w:rtl w:val="0"/>
        </w:rPr>
        <w:t xml:space="preserve">Mennella, C., Maniscalco, U., De Pietro, G. and Esposito, M., 2024. Ethical and regulatory challenges of AI technologies in healthcare: A narrative review. </w:t>
      </w:r>
      <w:r w:rsidDel="00000000" w:rsidR="00000000" w:rsidRPr="00000000">
        <w:rPr>
          <w:i w:val="1"/>
          <w:rtl w:val="0"/>
        </w:rPr>
        <w:t xml:space="preserve">Heliyon</w:t>
      </w:r>
      <w:r w:rsidDel="00000000" w:rsidR="00000000" w:rsidRPr="00000000">
        <w:rPr>
          <w:rtl w:val="0"/>
        </w:rPr>
        <w:t xml:space="preserve">, 10(4), e26297. </w:t>
      </w:r>
      <w:hyperlink r:id="rId170">
        <w:r w:rsidDel="00000000" w:rsidR="00000000" w:rsidRPr="00000000">
          <w:rPr>
            <w:color w:val="0000ff"/>
            <w:u w:val="single"/>
            <w:rtl w:val="0"/>
          </w:rPr>
          <w:t xml:space="preserve">https://doi.org/10.1016/j.heliyon.2024.e26297</w:t>
        </w:r>
      </w:hyperlink>
      <w:r w:rsidDel="00000000" w:rsidR="00000000" w:rsidRPr="00000000">
        <w:rPr>
          <w:rtl w:val="0"/>
        </w:rPr>
      </w:r>
    </w:p>
    <w:p w:rsidR="00000000" w:rsidDel="00000000" w:rsidP="00000000" w:rsidRDefault="00000000" w:rsidRPr="00000000" w14:paraId="000017E9">
      <w:pPr>
        <w:spacing w:after="280" w:before="280" w:lineRule="auto"/>
        <w:jc w:val="both"/>
        <w:rPr/>
      </w:pPr>
      <w:r w:rsidDel="00000000" w:rsidR="00000000" w:rsidRPr="00000000">
        <w:rPr>
          <w:rtl w:val="0"/>
        </w:rPr>
        <w:t xml:space="preserve">Mensah, I.K. and Khan, M.K., 2024. Unified Theory of Acceptance and Use of Technology (UTAUT) model: Factors influencing mobile banking services’ adoption in China. </w:t>
      </w:r>
      <w:r w:rsidDel="00000000" w:rsidR="00000000" w:rsidRPr="00000000">
        <w:rPr>
          <w:i w:val="1"/>
          <w:rtl w:val="0"/>
        </w:rPr>
        <w:t xml:space="preserve">SAGE Open</w:t>
      </w:r>
      <w:r w:rsidDel="00000000" w:rsidR="00000000" w:rsidRPr="00000000">
        <w:rPr>
          <w:rtl w:val="0"/>
        </w:rPr>
        <w:t xml:space="preserve">, 14(1). </w:t>
      </w:r>
      <w:hyperlink r:id="rId171">
        <w:r w:rsidDel="00000000" w:rsidR="00000000" w:rsidRPr="00000000">
          <w:rPr>
            <w:color w:val="0000ff"/>
            <w:u w:val="single"/>
            <w:rtl w:val="0"/>
          </w:rPr>
          <w:t xml:space="preserve">https://doi.org/10.1177/21582440241234230</w:t>
        </w:r>
      </w:hyperlink>
      <w:r w:rsidDel="00000000" w:rsidR="00000000" w:rsidRPr="00000000">
        <w:rPr>
          <w:rtl w:val="0"/>
        </w:rPr>
      </w:r>
    </w:p>
    <w:p w:rsidR="00000000" w:rsidDel="00000000" w:rsidP="00000000" w:rsidRDefault="00000000" w:rsidRPr="00000000" w14:paraId="000017EA">
      <w:pPr>
        <w:spacing w:after="280" w:before="280" w:lineRule="auto"/>
        <w:jc w:val="both"/>
        <w:rPr/>
      </w:pPr>
      <w:r w:rsidDel="00000000" w:rsidR="00000000" w:rsidRPr="00000000">
        <w:rPr>
          <w:rtl w:val="0"/>
        </w:rPr>
        <w:t xml:space="preserve">Metzger, M.J. and Flanagin, A.J., 2013. Credibility and trust of information in online environments: The use of cognitive heuristics. </w:t>
      </w:r>
      <w:r w:rsidDel="00000000" w:rsidR="00000000" w:rsidRPr="00000000">
        <w:rPr>
          <w:i w:val="1"/>
          <w:rtl w:val="0"/>
        </w:rPr>
        <w:t xml:space="preserve">Journal of Pragmatics</w:t>
      </w:r>
      <w:r w:rsidDel="00000000" w:rsidR="00000000" w:rsidRPr="00000000">
        <w:rPr>
          <w:rtl w:val="0"/>
        </w:rPr>
        <w:t xml:space="preserve">, 59, pp.210–220. </w:t>
      </w:r>
      <w:hyperlink r:id="rId172">
        <w:r w:rsidDel="00000000" w:rsidR="00000000" w:rsidRPr="00000000">
          <w:rPr>
            <w:color w:val="0000ff"/>
            <w:u w:val="single"/>
            <w:rtl w:val="0"/>
          </w:rPr>
          <w:t xml:space="preserve">https://doi.org/10.1016/j.pragma.2013.07.012</w:t>
        </w:r>
      </w:hyperlink>
      <w:r w:rsidDel="00000000" w:rsidR="00000000" w:rsidRPr="00000000">
        <w:rPr>
          <w:rtl w:val="0"/>
        </w:rPr>
      </w:r>
    </w:p>
    <w:p w:rsidR="00000000" w:rsidDel="00000000" w:rsidP="00000000" w:rsidRDefault="00000000" w:rsidRPr="00000000" w14:paraId="000017EB">
      <w:pPr>
        <w:spacing w:after="280" w:before="280" w:lineRule="auto"/>
        <w:jc w:val="both"/>
        <w:rPr/>
      </w:pPr>
      <w:r w:rsidDel="00000000" w:rsidR="00000000" w:rsidRPr="00000000">
        <w:rPr>
          <w:rtl w:val="0"/>
        </w:rPr>
        <w:t xml:space="preserve">Milne-Ives, M., Bounsall, K., Ananthakrishnan, A., Brownson-Smith, R., Cong, C., Carroll, C. and Meinert, E., 2025. Barriers and facilitators for digital health medical device registration in the UK: A scoping review. </w:t>
      </w:r>
      <w:r w:rsidDel="00000000" w:rsidR="00000000" w:rsidRPr="00000000">
        <w:rPr>
          <w:i w:val="1"/>
          <w:rtl w:val="0"/>
        </w:rPr>
        <w:t xml:space="preserve">medRxiv</w:t>
      </w:r>
      <w:r w:rsidDel="00000000" w:rsidR="00000000" w:rsidRPr="00000000">
        <w:rPr>
          <w:rtl w:val="0"/>
        </w:rPr>
        <w:t xml:space="preserve">. </w:t>
      </w:r>
      <w:hyperlink r:id="rId173">
        <w:r w:rsidDel="00000000" w:rsidR="00000000" w:rsidRPr="00000000">
          <w:rPr>
            <w:color w:val="0000ff"/>
            <w:u w:val="single"/>
            <w:rtl w:val="0"/>
          </w:rPr>
          <w:t xml:space="preserve">https://doi.org/10.1101/2025.04.13.25325766</w:t>
        </w:r>
      </w:hyperlink>
      <w:r w:rsidDel="00000000" w:rsidR="00000000" w:rsidRPr="00000000">
        <w:rPr>
          <w:rtl w:val="0"/>
        </w:rPr>
      </w:r>
    </w:p>
    <w:p w:rsidR="00000000" w:rsidDel="00000000" w:rsidP="00000000" w:rsidRDefault="00000000" w:rsidRPr="00000000" w14:paraId="000017EC">
      <w:pPr>
        <w:spacing w:after="280" w:before="280" w:lineRule="auto"/>
        <w:jc w:val="both"/>
        <w:rPr/>
      </w:pPr>
      <w:r w:rsidDel="00000000" w:rsidR="00000000" w:rsidRPr="00000000">
        <w:rPr>
          <w:rtl w:val="0"/>
        </w:rPr>
        <w:t xml:space="preserve">Montano, D., Kasprzyk, D. and Taplin, S., 2002. The theory of reasoned action and the theory of planned behavior. In: K. Glanz, B.K. Rimer and F.M. Lewis, eds. </w:t>
      </w:r>
      <w:r w:rsidDel="00000000" w:rsidR="00000000" w:rsidRPr="00000000">
        <w:rPr>
          <w:i w:val="1"/>
          <w:rtl w:val="0"/>
        </w:rPr>
        <w:t xml:space="preserve">Health behavior and health education: Theory, research, and practice</w:t>
      </w:r>
      <w:r w:rsidDel="00000000" w:rsidR="00000000" w:rsidRPr="00000000">
        <w:rPr>
          <w:rtl w:val="0"/>
        </w:rPr>
        <w:t xml:space="preserve">. 3rd ed. San Francisco: Jossey-Bass, pp.67–98.</w:t>
      </w:r>
    </w:p>
    <w:p w:rsidR="00000000" w:rsidDel="00000000" w:rsidP="00000000" w:rsidRDefault="00000000" w:rsidRPr="00000000" w14:paraId="000017ED">
      <w:pPr>
        <w:spacing w:after="280" w:before="280" w:lineRule="auto"/>
        <w:jc w:val="both"/>
        <w:rPr/>
      </w:pPr>
      <w:r w:rsidDel="00000000" w:rsidR="00000000" w:rsidRPr="00000000">
        <w:rPr>
          <w:rtl w:val="0"/>
        </w:rPr>
        <w:t xml:space="preserve">Mouloudj, K., Bouarar, A.C., Martínez Asanza, D., Saadaoui, L., Mouloudj, S., Njoku, A., Evans, M. and Bouarar, A., 2023. Factors influencing the adoption of digital health apps: An extended technology acceptance model (TAM). In: </w:t>
      </w:r>
      <w:r w:rsidDel="00000000" w:rsidR="00000000" w:rsidRPr="00000000">
        <w:rPr>
          <w:i w:val="1"/>
          <w:rtl w:val="0"/>
        </w:rPr>
        <w:t xml:space="preserve">Handbook of Research on Digitalization Solutions for Social and Economic Needs</w:t>
      </w:r>
      <w:r w:rsidDel="00000000" w:rsidR="00000000" w:rsidRPr="00000000">
        <w:rPr>
          <w:rtl w:val="0"/>
        </w:rPr>
        <w:t xml:space="preserve">. IGI Global, Chapter 7. </w:t>
      </w:r>
      <w:hyperlink r:id="rId174">
        <w:r w:rsidDel="00000000" w:rsidR="00000000" w:rsidRPr="00000000">
          <w:rPr>
            <w:color w:val="0000ff"/>
            <w:u w:val="single"/>
            <w:rtl w:val="0"/>
          </w:rPr>
          <w:t xml:space="preserve">https://doi.org/10.4018/978-1-6684-8337-4.ch007</w:t>
        </w:r>
      </w:hyperlink>
      <w:r w:rsidDel="00000000" w:rsidR="00000000" w:rsidRPr="00000000">
        <w:rPr>
          <w:rtl w:val="0"/>
        </w:rPr>
      </w:r>
    </w:p>
    <w:p w:rsidR="00000000" w:rsidDel="00000000" w:rsidP="00000000" w:rsidRDefault="00000000" w:rsidRPr="00000000" w14:paraId="000017EE">
      <w:pPr>
        <w:spacing w:after="280" w:before="280" w:lineRule="auto"/>
        <w:jc w:val="both"/>
        <w:rPr/>
      </w:pPr>
      <w:r w:rsidDel="00000000" w:rsidR="00000000" w:rsidRPr="00000000">
        <w:rPr>
          <w:rtl w:val="0"/>
        </w:rPr>
        <w:t xml:space="preserve">Musa, H.G., Fatmawati, I., Nuryakin, N. and Suyanto, M., 2024. Marketing research trends using Technology Acceptance Model (TAM): A comprehensive review of researches (2002–2022). </w:t>
      </w:r>
      <w:r w:rsidDel="00000000" w:rsidR="00000000" w:rsidRPr="00000000">
        <w:rPr>
          <w:i w:val="1"/>
          <w:rtl w:val="0"/>
        </w:rPr>
        <w:t xml:space="preserve">Cogent Business &amp; Management</w:t>
      </w:r>
      <w:r w:rsidDel="00000000" w:rsidR="00000000" w:rsidRPr="00000000">
        <w:rPr>
          <w:rtl w:val="0"/>
        </w:rPr>
        <w:t xml:space="preserve">, 11(1). </w:t>
      </w:r>
      <w:hyperlink r:id="rId175">
        <w:r w:rsidDel="00000000" w:rsidR="00000000" w:rsidRPr="00000000">
          <w:rPr>
            <w:color w:val="0000ff"/>
            <w:u w:val="single"/>
            <w:rtl w:val="0"/>
          </w:rPr>
          <w:t xml:space="preserve">https://doi.org/10.1080/23311975.2024.2329375</w:t>
        </w:r>
      </w:hyperlink>
      <w:r w:rsidDel="00000000" w:rsidR="00000000" w:rsidRPr="00000000">
        <w:rPr>
          <w:rtl w:val="0"/>
        </w:rPr>
      </w:r>
    </w:p>
    <w:p w:rsidR="00000000" w:rsidDel="00000000" w:rsidP="00000000" w:rsidRDefault="00000000" w:rsidRPr="00000000" w14:paraId="000017EF">
      <w:pPr>
        <w:spacing w:after="280" w:before="280" w:lineRule="auto"/>
        <w:jc w:val="both"/>
        <w:rPr/>
      </w:pPr>
      <w:r w:rsidDel="00000000" w:rsidR="00000000" w:rsidRPr="00000000">
        <w:rPr>
          <w:rtl w:val="0"/>
        </w:rPr>
        <w:t xml:space="preserve">Nahavandi, D., Alizadehsani, R., Khosravi, A. and Acharya, U., 2021. Application of artificial intelligence in wearable devices: Opportunities and challenges. </w:t>
      </w:r>
      <w:r w:rsidDel="00000000" w:rsidR="00000000" w:rsidRPr="00000000">
        <w:rPr>
          <w:i w:val="1"/>
          <w:rtl w:val="0"/>
        </w:rPr>
        <w:t xml:space="preserve">Computer Methods and Programs in Biomedicine</w:t>
      </w:r>
      <w:r w:rsidDel="00000000" w:rsidR="00000000" w:rsidRPr="00000000">
        <w:rPr>
          <w:rtl w:val="0"/>
        </w:rPr>
        <w:t xml:space="preserve">, 213, 106541. </w:t>
      </w:r>
      <w:hyperlink r:id="rId176">
        <w:r w:rsidDel="00000000" w:rsidR="00000000" w:rsidRPr="00000000">
          <w:rPr>
            <w:color w:val="0000ff"/>
            <w:u w:val="single"/>
            <w:rtl w:val="0"/>
          </w:rPr>
          <w:t xml:space="preserve">https://doi.org/10.1016/j.cmpb.2021.106541</w:t>
        </w:r>
      </w:hyperlink>
      <w:r w:rsidDel="00000000" w:rsidR="00000000" w:rsidRPr="00000000">
        <w:rPr>
          <w:rtl w:val="0"/>
        </w:rPr>
      </w:r>
    </w:p>
    <w:p w:rsidR="00000000" w:rsidDel="00000000" w:rsidP="00000000" w:rsidRDefault="00000000" w:rsidRPr="00000000" w14:paraId="000017F0">
      <w:pPr>
        <w:spacing w:after="280" w:before="280" w:lineRule="auto"/>
        <w:jc w:val="both"/>
        <w:rPr/>
      </w:pPr>
      <w:r w:rsidDel="00000000" w:rsidR="00000000" w:rsidRPr="00000000">
        <w:rPr>
          <w:rtl w:val="0"/>
        </w:rPr>
        <w:t xml:space="preserve">Narayan, A., Weng, K. and Shah, N., 2024. Decentralizing health care: History and opportunities of Web3. </w:t>
      </w:r>
      <w:r w:rsidDel="00000000" w:rsidR="00000000" w:rsidRPr="00000000">
        <w:rPr>
          <w:i w:val="1"/>
          <w:rtl w:val="0"/>
        </w:rPr>
        <w:t xml:space="preserve">JMIR Formative Research</w:t>
      </w:r>
      <w:r w:rsidDel="00000000" w:rsidR="00000000" w:rsidRPr="00000000">
        <w:rPr>
          <w:rtl w:val="0"/>
        </w:rPr>
        <w:t xml:space="preserve">, 8, e52740. </w:t>
      </w:r>
      <w:hyperlink r:id="rId177">
        <w:r w:rsidDel="00000000" w:rsidR="00000000" w:rsidRPr="00000000">
          <w:rPr>
            <w:color w:val="0000ff"/>
            <w:u w:val="single"/>
            <w:rtl w:val="0"/>
          </w:rPr>
          <w:t xml:space="preserve">https://doi.org/10.2196/52740</w:t>
        </w:r>
      </w:hyperlink>
      <w:r w:rsidDel="00000000" w:rsidR="00000000" w:rsidRPr="00000000">
        <w:rPr>
          <w:rtl w:val="0"/>
        </w:rPr>
      </w:r>
    </w:p>
    <w:p w:rsidR="00000000" w:rsidDel="00000000" w:rsidP="00000000" w:rsidRDefault="00000000" w:rsidRPr="00000000" w14:paraId="000017F1">
      <w:pPr>
        <w:spacing w:after="280" w:before="280" w:lineRule="auto"/>
        <w:jc w:val="both"/>
        <w:rPr/>
      </w:pPr>
      <w:r w:rsidDel="00000000" w:rsidR="00000000" w:rsidRPr="00000000">
        <w:rPr>
          <w:rtl w:val="0"/>
        </w:rPr>
        <w:t xml:space="preserve">Narayan, A., Weng, K. and Shah, N., 2024. Decentralizing health care: History and opportunities of Web3. </w:t>
      </w:r>
      <w:r w:rsidDel="00000000" w:rsidR="00000000" w:rsidRPr="00000000">
        <w:rPr>
          <w:i w:val="1"/>
          <w:rtl w:val="0"/>
        </w:rPr>
        <w:t xml:space="preserve">JMIR Formative Research</w:t>
      </w:r>
      <w:r w:rsidDel="00000000" w:rsidR="00000000" w:rsidRPr="00000000">
        <w:rPr>
          <w:rtl w:val="0"/>
        </w:rPr>
        <w:t xml:space="preserve">, 8, e52740. </w:t>
      </w:r>
      <w:hyperlink r:id="rId178">
        <w:r w:rsidDel="00000000" w:rsidR="00000000" w:rsidRPr="00000000">
          <w:rPr>
            <w:color w:val="0000ff"/>
            <w:u w:val="single"/>
            <w:rtl w:val="0"/>
          </w:rPr>
          <w:t xml:space="preserve">https://doi.org/10.2196/52740</w:t>
        </w:r>
      </w:hyperlink>
      <w:r w:rsidDel="00000000" w:rsidR="00000000" w:rsidRPr="00000000">
        <w:rPr>
          <w:rtl w:val="0"/>
        </w:rPr>
      </w:r>
    </w:p>
    <w:p w:rsidR="00000000" w:rsidDel="00000000" w:rsidP="00000000" w:rsidRDefault="00000000" w:rsidRPr="00000000" w14:paraId="000017F2">
      <w:pPr>
        <w:spacing w:after="280" w:before="280" w:lineRule="auto"/>
        <w:jc w:val="both"/>
        <w:rPr/>
      </w:pPr>
      <w:r w:rsidDel="00000000" w:rsidR="00000000" w:rsidRPr="00000000">
        <w:rPr>
          <w:rtl w:val="0"/>
        </w:rPr>
        <w:t xml:space="preserve">Nguyen, A.M., Rivera, A.M. and Gualtieri, L., 2023. A new health care paradigm: The power of digital health and e-patients. </w:t>
      </w:r>
      <w:r w:rsidDel="00000000" w:rsidR="00000000" w:rsidRPr="00000000">
        <w:rPr>
          <w:i w:val="1"/>
          <w:rtl w:val="0"/>
        </w:rPr>
        <w:t xml:space="preserve">Mayo Clinic Proceedings: Digital Health</w:t>
      </w:r>
      <w:r w:rsidDel="00000000" w:rsidR="00000000" w:rsidRPr="00000000">
        <w:rPr>
          <w:rtl w:val="0"/>
        </w:rPr>
        <w:t xml:space="preserve">, 1(3), pp.203–209. </w:t>
      </w:r>
      <w:hyperlink r:id="rId179">
        <w:r w:rsidDel="00000000" w:rsidR="00000000" w:rsidRPr="00000000">
          <w:rPr>
            <w:color w:val="0000ff"/>
            <w:u w:val="single"/>
            <w:rtl w:val="0"/>
          </w:rPr>
          <w:t xml:space="preserve">https://doi.org/10.1016/j.mcpdig.2023.04.005</w:t>
        </w:r>
      </w:hyperlink>
      <w:r w:rsidDel="00000000" w:rsidR="00000000" w:rsidRPr="00000000">
        <w:rPr>
          <w:rtl w:val="0"/>
        </w:rPr>
      </w:r>
    </w:p>
    <w:p w:rsidR="00000000" w:rsidDel="00000000" w:rsidP="00000000" w:rsidRDefault="00000000" w:rsidRPr="00000000" w14:paraId="000017F3">
      <w:pPr>
        <w:spacing w:after="280" w:before="280" w:lineRule="auto"/>
        <w:jc w:val="both"/>
        <w:rPr/>
      </w:pPr>
      <w:r w:rsidDel="00000000" w:rsidR="00000000" w:rsidRPr="00000000">
        <w:rPr>
          <w:rtl w:val="0"/>
        </w:rPr>
        <w:t xml:space="preserve">Nickerson, C., 2023. Theory of Reasoned Action (Fishbein and Ajzen, 1975). </w:t>
      </w:r>
      <w:r w:rsidDel="00000000" w:rsidR="00000000" w:rsidRPr="00000000">
        <w:rPr>
          <w:i w:val="1"/>
          <w:rtl w:val="0"/>
        </w:rPr>
        <w:t xml:space="preserve">Simply Psychology</w:t>
      </w:r>
      <w:r w:rsidDel="00000000" w:rsidR="00000000" w:rsidRPr="00000000">
        <w:rPr>
          <w:rtl w:val="0"/>
        </w:rPr>
        <w:t xml:space="preserve">. [online] Available at: </w:t>
      </w:r>
      <w:hyperlink r:id="rId180">
        <w:r w:rsidDel="00000000" w:rsidR="00000000" w:rsidRPr="00000000">
          <w:rPr>
            <w:color w:val="0000ff"/>
            <w:u w:val="single"/>
            <w:rtl w:val="0"/>
          </w:rPr>
          <w:t xml:space="preserve">https://www.simplypsychology.org/theory-of-reasoned-action.html</w:t>
        </w:r>
      </w:hyperlink>
      <w:r w:rsidDel="00000000" w:rsidR="00000000" w:rsidRPr="00000000">
        <w:rPr>
          <w:rtl w:val="0"/>
        </w:rPr>
        <w:t xml:space="preserve"> [Accessed 18 May 2025].</w:t>
      </w:r>
    </w:p>
    <w:p w:rsidR="00000000" w:rsidDel="00000000" w:rsidP="00000000" w:rsidRDefault="00000000" w:rsidRPr="00000000" w14:paraId="000017F4">
      <w:pPr>
        <w:spacing w:after="280" w:before="280" w:lineRule="auto"/>
        <w:jc w:val="both"/>
        <w:rPr/>
      </w:pPr>
      <w:r w:rsidDel="00000000" w:rsidR="00000000" w:rsidRPr="00000000">
        <w:rPr>
          <w:rtl w:val="0"/>
        </w:rPr>
        <w:t xml:space="preserve">Nizamutdinov, D., Qi, X., Berman, M.H., Dougal, G., Dayawansa, S., Wu, E., Yi, S.S., Stevens, A.B. and Huang, J.H., 2021. Transcranial near infrared light stimulations improve cognition in patients with dementia. </w:t>
      </w:r>
      <w:r w:rsidDel="00000000" w:rsidR="00000000" w:rsidRPr="00000000">
        <w:rPr>
          <w:i w:val="1"/>
          <w:rtl w:val="0"/>
        </w:rPr>
        <w:t xml:space="preserve">Aging and Disease</w:t>
      </w:r>
      <w:r w:rsidDel="00000000" w:rsidR="00000000" w:rsidRPr="00000000">
        <w:rPr>
          <w:rtl w:val="0"/>
        </w:rPr>
        <w:t xml:space="preserve">, 12(4), pp.954–963. </w:t>
      </w:r>
      <w:hyperlink r:id="rId181">
        <w:r w:rsidDel="00000000" w:rsidR="00000000" w:rsidRPr="00000000">
          <w:rPr>
            <w:color w:val="0000ff"/>
            <w:u w:val="single"/>
            <w:rtl w:val="0"/>
          </w:rPr>
          <w:t xml:space="preserve">https://doi.org/10.14336/AD.2021.0229</w:t>
        </w:r>
      </w:hyperlink>
      <w:r w:rsidDel="00000000" w:rsidR="00000000" w:rsidRPr="00000000">
        <w:rPr>
          <w:rtl w:val="0"/>
        </w:rPr>
      </w:r>
    </w:p>
    <w:p w:rsidR="00000000" w:rsidDel="00000000" w:rsidP="00000000" w:rsidRDefault="00000000" w:rsidRPr="00000000" w14:paraId="000017F5">
      <w:pPr>
        <w:spacing w:after="280" w:before="280" w:lineRule="auto"/>
        <w:jc w:val="both"/>
        <w:rPr/>
      </w:pPr>
      <w:r w:rsidDel="00000000" w:rsidR="00000000" w:rsidRPr="00000000">
        <w:rPr>
          <w:rtl w:val="0"/>
        </w:rPr>
        <w:t xml:space="preserve">O’Connor, Y., O’Connor, S., Heavin, C., Gallagher, J. and O’Donoghue, J., 2016. Sociocultural and technological barriers across all phases of implementation for mobile health in developing countries. In: D. Al-Jumeily, A. Hussain, C. Mallucci and C. Oliver, eds. </w:t>
      </w:r>
      <w:r w:rsidDel="00000000" w:rsidR="00000000" w:rsidRPr="00000000">
        <w:rPr>
          <w:i w:val="1"/>
          <w:rtl w:val="0"/>
        </w:rPr>
        <w:t xml:space="preserve">Emerging topics in computer science and applied computing: Applied computing in medicine and health</w:t>
      </w:r>
      <w:r w:rsidDel="00000000" w:rsidR="00000000" w:rsidRPr="00000000">
        <w:rPr>
          <w:rtl w:val="0"/>
        </w:rPr>
        <w:t xml:space="preserve">. Morgan Kaufmann, pp.212–230. </w:t>
      </w:r>
      <w:hyperlink r:id="rId182">
        <w:r w:rsidDel="00000000" w:rsidR="00000000" w:rsidRPr="00000000">
          <w:rPr>
            <w:color w:val="0000ff"/>
            <w:u w:val="single"/>
            <w:rtl w:val="0"/>
          </w:rPr>
          <w:t xml:space="preserve">https://doi.org/10.1016/B978-0-12-803468-2.00010-2</w:t>
        </w:r>
      </w:hyperlink>
      <w:r w:rsidDel="00000000" w:rsidR="00000000" w:rsidRPr="00000000">
        <w:rPr>
          <w:rtl w:val="0"/>
        </w:rPr>
      </w:r>
    </w:p>
    <w:p w:rsidR="00000000" w:rsidDel="00000000" w:rsidP="00000000" w:rsidRDefault="00000000" w:rsidRPr="00000000" w14:paraId="000017F6">
      <w:pPr>
        <w:spacing w:after="280" w:before="280" w:lineRule="auto"/>
        <w:jc w:val="both"/>
        <w:rPr/>
      </w:pPr>
      <w:r w:rsidDel="00000000" w:rsidR="00000000" w:rsidRPr="00000000">
        <w:rPr>
          <w:rtl w:val="0"/>
        </w:rPr>
        <w:t xml:space="preserve">Olawade, D.B., Aderinto, N., David-Olawade, A.C., Egbon, E., Adereni, T., Popoola, M.R. and Tiwari, R., 2025. Integrating AI-driven wearable devices and biometric data into stroke risk assessment: A review of opportunities and challenges. </w:t>
      </w:r>
      <w:r w:rsidDel="00000000" w:rsidR="00000000" w:rsidRPr="00000000">
        <w:rPr>
          <w:i w:val="1"/>
          <w:rtl w:val="0"/>
        </w:rPr>
        <w:t xml:space="preserve">Clinical Neurology and Neurosurgery</w:t>
      </w:r>
      <w:r w:rsidDel="00000000" w:rsidR="00000000" w:rsidRPr="00000000">
        <w:rPr>
          <w:rtl w:val="0"/>
        </w:rPr>
        <w:t xml:space="preserve">, 249, 108689. </w:t>
      </w:r>
      <w:hyperlink r:id="rId183">
        <w:r w:rsidDel="00000000" w:rsidR="00000000" w:rsidRPr="00000000">
          <w:rPr>
            <w:color w:val="0000ff"/>
            <w:u w:val="single"/>
            <w:rtl w:val="0"/>
          </w:rPr>
          <w:t xml:space="preserve">https://doi.org/10.1016/j.clineuro.2024.108689</w:t>
        </w:r>
      </w:hyperlink>
      <w:r w:rsidDel="00000000" w:rsidR="00000000" w:rsidRPr="00000000">
        <w:rPr>
          <w:rtl w:val="0"/>
        </w:rPr>
      </w:r>
    </w:p>
    <w:p w:rsidR="00000000" w:rsidDel="00000000" w:rsidP="00000000" w:rsidRDefault="00000000" w:rsidRPr="00000000" w14:paraId="000017F7">
      <w:pPr>
        <w:spacing w:after="280" w:before="280" w:lineRule="auto"/>
        <w:jc w:val="both"/>
        <w:rPr/>
      </w:pPr>
      <w:r w:rsidDel="00000000" w:rsidR="00000000" w:rsidRPr="00000000">
        <w:rPr>
          <w:rtl w:val="0"/>
        </w:rPr>
        <w:t xml:space="preserve">Omar, N.N., Che Zainal, C.N.A.S. and Abdul Rashid, M.S., 2023. Framework analysis on the adoption of digital healthcare services among senior citizens by using the extended technology acceptance model (ETAM) [version 1; peer review: awaiting peer review]. </w:t>
      </w:r>
      <w:r w:rsidDel="00000000" w:rsidR="00000000" w:rsidRPr="00000000">
        <w:rPr>
          <w:i w:val="1"/>
          <w:rtl w:val="0"/>
        </w:rPr>
        <w:t xml:space="preserve">F1000Research</w:t>
      </w:r>
      <w:r w:rsidDel="00000000" w:rsidR="00000000" w:rsidRPr="00000000">
        <w:rPr>
          <w:rtl w:val="0"/>
        </w:rPr>
        <w:t xml:space="preserve">, 12, 1551. </w:t>
      </w:r>
      <w:hyperlink r:id="rId184">
        <w:r w:rsidDel="00000000" w:rsidR="00000000" w:rsidRPr="00000000">
          <w:rPr>
            <w:color w:val="0000ff"/>
            <w:u w:val="single"/>
            <w:rtl w:val="0"/>
          </w:rPr>
          <w:t xml:space="preserve">https://doi.org/10.12688/f1000research.137009.1</w:t>
        </w:r>
      </w:hyperlink>
      <w:r w:rsidDel="00000000" w:rsidR="00000000" w:rsidRPr="00000000">
        <w:rPr>
          <w:rtl w:val="0"/>
        </w:rPr>
      </w:r>
    </w:p>
    <w:p w:rsidR="00000000" w:rsidDel="00000000" w:rsidP="00000000" w:rsidRDefault="00000000" w:rsidRPr="00000000" w14:paraId="000017F8">
      <w:pPr>
        <w:spacing w:after="280" w:before="280" w:lineRule="auto"/>
        <w:jc w:val="both"/>
        <w:rPr/>
      </w:pPr>
      <w:r w:rsidDel="00000000" w:rsidR="00000000" w:rsidRPr="00000000">
        <w:rPr>
          <w:rtl w:val="0"/>
        </w:rPr>
        <w:t xml:space="preserve">Ondogan, A.G., Sargin, M. and Canoz, K., 2023. Use of electronic medical records in the digital healthcare system and its role in communication and medical information sharing among healthcare professionals. </w:t>
      </w:r>
      <w:r w:rsidDel="00000000" w:rsidR="00000000" w:rsidRPr="00000000">
        <w:rPr>
          <w:i w:val="1"/>
          <w:rtl w:val="0"/>
        </w:rPr>
        <w:t xml:space="preserve">Informatics in Medicine Unlocked</w:t>
      </w:r>
      <w:r w:rsidDel="00000000" w:rsidR="00000000" w:rsidRPr="00000000">
        <w:rPr>
          <w:rtl w:val="0"/>
        </w:rPr>
        <w:t xml:space="preserve">, 42, 101373. </w:t>
      </w:r>
      <w:hyperlink r:id="rId185">
        <w:r w:rsidDel="00000000" w:rsidR="00000000" w:rsidRPr="00000000">
          <w:rPr>
            <w:color w:val="0000ff"/>
            <w:u w:val="single"/>
            <w:rtl w:val="0"/>
          </w:rPr>
          <w:t xml:space="preserve">https://doi.org/10.1016/j.imu.2023.101373</w:t>
        </w:r>
      </w:hyperlink>
      <w:r w:rsidDel="00000000" w:rsidR="00000000" w:rsidRPr="00000000">
        <w:rPr>
          <w:rtl w:val="0"/>
        </w:rPr>
      </w:r>
    </w:p>
    <w:p w:rsidR="00000000" w:rsidDel="00000000" w:rsidP="00000000" w:rsidRDefault="00000000" w:rsidRPr="00000000" w14:paraId="000017F9">
      <w:pPr>
        <w:spacing w:after="280" w:before="280" w:lineRule="auto"/>
        <w:jc w:val="both"/>
        <w:rPr/>
      </w:pPr>
      <w:r w:rsidDel="00000000" w:rsidR="00000000" w:rsidRPr="00000000">
        <w:rPr>
          <w:rtl w:val="0"/>
        </w:rPr>
        <w:t xml:space="preserve">Ortega, M.A., Fraile-Martinez, O., García-Montero, C., Callejón-Peláez, E., Sáez, M.A., Álvarez-Mon, M.A., García-Honduvilla, N., Monserrat, J., Álvarez-Mon, M., Bujan, J. and Canals, M.L., 2021. A general overview on the hyperbaric oxygen therapy: Applications, mechanisms and translational opportunities. </w:t>
      </w:r>
      <w:r w:rsidDel="00000000" w:rsidR="00000000" w:rsidRPr="00000000">
        <w:rPr>
          <w:i w:val="1"/>
          <w:rtl w:val="0"/>
        </w:rPr>
        <w:t xml:space="preserve">Medicina (Kaunas, Lithuania)</w:t>
      </w:r>
      <w:r w:rsidDel="00000000" w:rsidR="00000000" w:rsidRPr="00000000">
        <w:rPr>
          <w:rtl w:val="0"/>
        </w:rPr>
        <w:t xml:space="preserve">, 57(9), 864. </w:t>
      </w:r>
      <w:hyperlink r:id="rId186">
        <w:r w:rsidDel="00000000" w:rsidR="00000000" w:rsidRPr="00000000">
          <w:rPr>
            <w:color w:val="0000ff"/>
            <w:u w:val="single"/>
            <w:rtl w:val="0"/>
          </w:rPr>
          <w:t xml:space="preserve">https://doi.org/10.3390/medicina57090864</w:t>
        </w:r>
      </w:hyperlink>
      <w:r w:rsidDel="00000000" w:rsidR="00000000" w:rsidRPr="00000000">
        <w:rPr>
          <w:rtl w:val="0"/>
        </w:rPr>
      </w:r>
    </w:p>
    <w:p w:rsidR="00000000" w:rsidDel="00000000" w:rsidP="00000000" w:rsidRDefault="00000000" w:rsidRPr="00000000" w14:paraId="000017FA">
      <w:pPr>
        <w:spacing w:after="280" w:before="280" w:lineRule="auto"/>
        <w:jc w:val="both"/>
        <w:rPr/>
      </w:pPr>
      <w:r w:rsidDel="00000000" w:rsidR="00000000" w:rsidRPr="00000000">
        <w:rPr>
          <w:rtl w:val="0"/>
        </w:rPr>
        <w:t xml:space="preserve">Ortman, J.M., Velkoff, V.A. and Hogan, H., 2014. </w:t>
      </w:r>
      <w:r w:rsidDel="00000000" w:rsidR="00000000" w:rsidRPr="00000000">
        <w:rPr>
          <w:i w:val="1"/>
          <w:rtl w:val="0"/>
        </w:rPr>
        <w:t xml:space="preserve">An aging nation: The older population in the United States</w:t>
      </w:r>
      <w:r w:rsidDel="00000000" w:rsidR="00000000" w:rsidRPr="00000000">
        <w:rPr>
          <w:rtl w:val="0"/>
        </w:rPr>
        <w:t xml:space="preserve"> (Current Population Reports, P25-1140). U.S. Census Bureau. [pdf] Available at: </w:t>
      </w:r>
      <w:hyperlink r:id="rId187">
        <w:r w:rsidDel="00000000" w:rsidR="00000000" w:rsidRPr="00000000">
          <w:rPr>
            <w:color w:val="0000ff"/>
            <w:u w:val="single"/>
            <w:rtl w:val="0"/>
          </w:rPr>
          <w:t xml:space="preserve">https://www.census.gov/prod/2014pubs/p25-1140.pdf</w:t>
        </w:r>
      </w:hyperlink>
      <w:r w:rsidDel="00000000" w:rsidR="00000000" w:rsidRPr="00000000">
        <w:rPr>
          <w:rtl w:val="0"/>
        </w:rPr>
        <w:t xml:space="preserve"> [Accessed 18 May 2025].</w:t>
      </w:r>
    </w:p>
    <w:p w:rsidR="00000000" w:rsidDel="00000000" w:rsidP="00000000" w:rsidRDefault="00000000" w:rsidRPr="00000000" w14:paraId="000017FB">
      <w:pPr>
        <w:spacing w:after="280" w:before="280" w:lineRule="auto"/>
        <w:jc w:val="both"/>
        <w:rPr/>
      </w:pPr>
      <w:r w:rsidDel="00000000" w:rsidR="00000000" w:rsidRPr="00000000">
        <w:rPr>
          <w:rtl w:val="0"/>
        </w:rPr>
        <w:t xml:space="preserve">Oyeniyi, J., 2024. The role of AI and mobile apps in patient-centric healthcare delivery. </w:t>
      </w:r>
      <w:r w:rsidDel="00000000" w:rsidR="00000000" w:rsidRPr="00000000">
        <w:rPr>
          <w:i w:val="1"/>
          <w:rtl w:val="0"/>
        </w:rPr>
        <w:t xml:space="preserve">World Journal of Advanced Research and Reviews</w:t>
      </w:r>
      <w:r w:rsidDel="00000000" w:rsidR="00000000" w:rsidRPr="00000000">
        <w:rPr>
          <w:rtl w:val="0"/>
        </w:rPr>
        <w:t xml:space="preserve">, 22(1), pp.1897–1907. </w:t>
      </w:r>
      <w:hyperlink r:id="rId188">
        <w:r w:rsidDel="00000000" w:rsidR="00000000" w:rsidRPr="00000000">
          <w:rPr>
            <w:color w:val="0000ff"/>
            <w:u w:val="single"/>
            <w:rtl w:val="0"/>
          </w:rPr>
          <w:t xml:space="preserve">https://doi.org/10.30574/wjarr.2024.22.1.1331</w:t>
        </w:r>
      </w:hyperlink>
      <w:r w:rsidDel="00000000" w:rsidR="00000000" w:rsidRPr="00000000">
        <w:rPr>
          <w:rtl w:val="0"/>
        </w:rPr>
      </w:r>
    </w:p>
    <w:p w:rsidR="00000000" w:rsidDel="00000000" w:rsidP="00000000" w:rsidRDefault="00000000" w:rsidRPr="00000000" w14:paraId="000017FC">
      <w:pPr>
        <w:spacing w:after="280" w:before="280" w:lineRule="auto"/>
        <w:jc w:val="both"/>
        <w:rPr/>
      </w:pPr>
      <w:r w:rsidDel="00000000" w:rsidR="00000000" w:rsidRPr="00000000">
        <w:rPr>
          <w:rtl w:val="0"/>
        </w:rPr>
        <w:t xml:space="preserve">Pakseresht, A., Kaliji, S.A. and Canavari, M., 2022. Review of factors affecting consumer acceptance of cultured meat. </w:t>
      </w:r>
      <w:r w:rsidDel="00000000" w:rsidR="00000000" w:rsidRPr="00000000">
        <w:rPr>
          <w:i w:val="1"/>
          <w:rtl w:val="0"/>
        </w:rPr>
        <w:t xml:space="preserve">Appetite</w:t>
      </w:r>
      <w:r w:rsidDel="00000000" w:rsidR="00000000" w:rsidRPr="00000000">
        <w:rPr>
          <w:rtl w:val="0"/>
        </w:rPr>
        <w:t xml:space="preserve">, 170, 105829. </w:t>
      </w:r>
      <w:hyperlink r:id="rId189">
        <w:r w:rsidDel="00000000" w:rsidR="00000000" w:rsidRPr="00000000">
          <w:rPr>
            <w:color w:val="0000ff"/>
            <w:u w:val="single"/>
            <w:rtl w:val="0"/>
          </w:rPr>
          <w:t xml:space="preserve">https://doi.org/10.1016/j.appet.2021.105829</w:t>
        </w:r>
      </w:hyperlink>
      <w:r w:rsidDel="00000000" w:rsidR="00000000" w:rsidRPr="00000000">
        <w:rPr>
          <w:rtl w:val="0"/>
        </w:rPr>
      </w:r>
    </w:p>
    <w:p w:rsidR="00000000" w:rsidDel="00000000" w:rsidP="00000000" w:rsidRDefault="00000000" w:rsidRPr="00000000" w14:paraId="000017FD">
      <w:pPr>
        <w:spacing w:after="280" w:before="280" w:lineRule="auto"/>
        <w:jc w:val="both"/>
        <w:rPr/>
      </w:pPr>
      <w:r w:rsidDel="00000000" w:rsidR="00000000" w:rsidRPr="00000000">
        <w:rPr>
          <w:rtl w:val="0"/>
        </w:rPr>
        <w:t xml:space="preserve">Pan, W., Liu, P. and Ma, D., 2023. Advances in photobiomodulation for cognitive improvement by near-infrared derived multiple strategies. </w:t>
      </w:r>
      <w:r w:rsidDel="00000000" w:rsidR="00000000" w:rsidRPr="00000000">
        <w:rPr>
          <w:i w:val="1"/>
          <w:rtl w:val="0"/>
        </w:rPr>
        <w:t xml:space="preserve">Journal of Translational Medicine</w:t>
      </w:r>
      <w:r w:rsidDel="00000000" w:rsidR="00000000" w:rsidRPr="00000000">
        <w:rPr>
          <w:rtl w:val="0"/>
        </w:rPr>
        <w:t xml:space="preserve">, 21, 135. </w:t>
      </w:r>
      <w:hyperlink r:id="rId190">
        <w:r w:rsidDel="00000000" w:rsidR="00000000" w:rsidRPr="00000000">
          <w:rPr>
            <w:color w:val="0000ff"/>
            <w:u w:val="single"/>
            <w:rtl w:val="0"/>
          </w:rPr>
          <w:t xml:space="preserve">https://doi.org/10.1186/s12967-023-03988-w</w:t>
        </w:r>
      </w:hyperlink>
      <w:r w:rsidDel="00000000" w:rsidR="00000000" w:rsidRPr="00000000">
        <w:rPr>
          <w:rtl w:val="0"/>
        </w:rPr>
      </w:r>
    </w:p>
    <w:p w:rsidR="00000000" w:rsidDel="00000000" w:rsidP="00000000" w:rsidRDefault="00000000" w:rsidRPr="00000000" w14:paraId="000017FE">
      <w:pPr>
        <w:spacing w:after="280" w:before="280" w:lineRule="auto"/>
        <w:jc w:val="both"/>
        <w:rPr/>
      </w:pPr>
      <w:r w:rsidDel="00000000" w:rsidR="00000000" w:rsidRPr="00000000">
        <w:rPr>
          <w:rtl w:val="0"/>
        </w:rPr>
        <w:t xml:space="preserve">Papalamprakopoulou, Z., Stavropoulos, D., Moustakidis, S., Avgerinos, D., Efremidis, M. and Kampaktsis, P.N., 2024. Artificial intelligence-enabled atrial fibrillation detection using smartwatches: Current status and future perspectives. </w:t>
      </w:r>
      <w:r w:rsidDel="00000000" w:rsidR="00000000" w:rsidRPr="00000000">
        <w:rPr>
          <w:i w:val="1"/>
          <w:rtl w:val="0"/>
        </w:rPr>
        <w:t xml:space="preserve">Frontiers in Cardiovascular Medicine</w:t>
      </w:r>
      <w:r w:rsidDel="00000000" w:rsidR="00000000" w:rsidRPr="00000000">
        <w:rPr>
          <w:rtl w:val="0"/>
        </w:rPr>
        <w:t xml:space="preserve">, 11, 1432876. </w:t>
      </w:r>
      <w:hyperlink r:id="rId191">
        <w:r w:rsidDel="00000000" w:rsidR="00000000" w:rsidRPr="00000000">
          <w:rPr>
            <w:color w:val="0000ff"/>
            <w:u w:val="single"/>
            <w:rtl w:val="0"/>
          </w:rPr>
          <w:t xml:space="preserve">https://doi.org/10.3389/fcvm.2024.1432876</w:t>
        </w:r>
      </w:hyperlink>
      <w:r w:rsidDel="00000000" w:rsidR="00000000" w:rsidRPr="00000000">
        <w:rPr>
          <w:rtl w:val="0"/>
        </w:rPr>
      </w:r>
    </w:p>
    <w:p w:rsidR="00000000" w:rsidDel="00000000" w:rsidP="00000000" w:rsidRDefault="00000000" w:rsidRPr="00000000" w14:paraId="000017FF">
      <w:pPr>
        <w:spacing w:after="280" w:before="280" w:lineRule="auto"/>
        <w:jc w:val="both"/>
        <w:rPr/>
      </w:pPr>
      <w:r w:rsidDel="00000000" w:rsidR="00000000" w:rsidRPr="00000000">
        <w:rPr>
          <w:rtl w:val="0"/>
        </w:rPr>
        <w:t xml:space="preserve">Papp, K.A., 2006. The long-term efficacy and safety of new biological therapies for psoriasis. </w:t>
      </w:r>
      <w:r w:rsidDel="00000000" w:rsidR="00000000" w:rsidRPr="00000000">
        <w:rPr>
          <w:i w:val="1"/>
          <w:rtl w:val="0"/>
        </w:rPr>
        <w:t xml:space="preserve">Archives of Dermatological Research</w:t>
      </w:r>
      <w:r w:rsidDel="00000000" w:rsidR="00000000" w:rsidRPr="00000000">
        <w:rPr>
          <w:rtl w:val="0"/>
        </w:rPr>
        <w:t xml:space="preserve">, 298(1), pp.7–15. </w:t>
      </w:r>
      <w:hyperlink r:id="rId192">
        <w:r w:rsidDel="00000000" w:rsidR="00000000" w:rsidRPr="00000000">
          <w:rPr>
            <w:color w:val="0000ff"/>
            <w:u w:val="single"/>
            <w:rtl w:val="0"/>
          </w:rPr>
          <w:t xml:space="preserve">https://doi.org/10.1007/s00403-006-0660-6</w:t>
        </w:r>
      </w:hyperlink>
      <w:r w:rsidDel="00000000" w:rsidR="00000000" w:rsidRPr="00000000">
        <w:rPr>
          <w:rtl w:val="0"/>
        </w:rPr>
      </w:r>
    </w:p>
    <w:p w:rsidR="00000000" w:rsidDel="00000000" w:rsidP="00000000" w:rsidRDefault="00000000" w:rsidRPr="00000000" w14:paraId="00001800">
      <w:pPr>
        <w:spacing w:after="280" w:before="280" w:lineRule="auto"/>
        <w:jc w:val="both"/>
        <w:rPr/>
      </w:pPr>
      <w:r w:rsidDel="00000000" w:rsidR="00000000" w:rsidRPr="00000000">
        <w:rPr>
          <w:rtl w:val="0"/>
        </w:rPr>
        <w:t xml:space="preserve">Pappas, I.O. and Woodside, A.G., 2021. Fuzzy-set qualitative comparative analysis (fsQCA): Guidelines for research practice in information systems and marketing. </w:t>
      </w:r>
      <w:r w:rsidDel="00000000" w:rsidR="00000000" w:rsidRPr="00000000">
        <w:rPr>
          <w:i w:val="1"/>
          <w:rtl w:val="0"/>
        </w:rPr>
        <w:t xml:space="preserve">International Journal of Information Management</w:t>
      </w:r>
      <w:r w:rsidDel="00000000" w:rsidR="00000000" w:rsidRPr="00000000">
        <w:rPr>
          <w:rtl w:val="0"/>
        </w:rPr>
        <w:t xml:space="preserve">, 58, 102310. </w:t>
      </w:r>
      <w:hyperlink r:id="rId193">
        <w:r w:rsidDel="00000000" w:rsidR="00000000" w:rsidRPr="00000000">
          <w:rPr>
            <w:color w:val="0000ff"/>
            <w:u w:val="single"/>
            <w:rtl w:val="0"/>
          </w:rPr>
          <w:t xml:space="preserve">https://doi.org/10.1016/j.ijinfomgt.2021.102310</w:t>
        </w:r>
      </w:hyperlink>
      <w:r w:rsidDel="00000000" w:rsidR="00000000" w:rsidRPr="00000000">
        <w:rPr>
          <w:rtl w:val="0"/>
        </w:rPr>
      </w:r>
    </w:p>
    <w:p w:rsidR="00000000" w:rsidDel="00000000" w:rsidP="00000000" w:rsidRDefault="00000000" w:rsidRPr="00000000" w14:paraId="00001801">
      <w:pPr>
        <w:spacing w:after="280" w:before="280" w:lineRule="auto"/>
        <w:jc w:val="both"/>
        <w:rPr/>
      </w:pPr>
      <w:r w:rsidDel="00000000" w:rsidR="00000000" w:rsidRPr="00000000">
        <w:rPr>
          <w:rtl w:val="0"/>
        </w:rPr>
        <w:t xml:space="preserve">Parizotto, N.A. and Ferraresi, C., 2024. Enhancing physiotherapy outcomes with photo-biomodulation: A comprehensive review. </w:t>
      </w:r>
      <w:r w:rsidDel="00000000" w:rsidR="00000000" w:rsidRPr="00000000">
        <w:rPr>
          <w:i w:val="1"/>
          <w:rtl w:val="0"/>
        </w:rPr>
        <w:t xml:space="preserve">Journal of Novel Physiotherapy and Rehabilitation</w:t>
      </w:r>
      <w:r w:rsidDel="00000000" w:rsidR="00000000" w:rsidRPr="00000000">
        <w:rPr>
          <w:rtl w:val="0"/>
        </w:rPr>
        <w:t xml:space="preserve">, 8(2), pp.031–038. </w:t>
      </w:r>
      <w:hyperlink r:id="rId194">
        <w:r w:rsidDel="00000000" w:rsidR="00000000" w:rsidRPr="00000000">
          <w:rPr>
            <w:color w:val="0000ff"/>
            <w:u w:val="single"/>
            <w:rtl w:val="0"/>
          </w:rPr>
          <w:t xml:space="preserve">https://doi.org/10.29328/journal.jnpr.1001061</w:t>
        </w:r>
      </w:hyperlink>
      <w:r w:rsidDel="00000000" w:rsidR="00000000" w:rsidRPr="00000000">
        <w:rPr>
          <w:rtl w:val="0"/>
        </w:rPr>
      </w:r>
    </w:p>
    <w:p w:rsidR="00000000" w:rsidDel="00000000" w:rsidP="00000000" w:rsidRDefault="00000000" w:rsidRPr="00000000" w14:paraId="00001802">
      <w:pPr>
        <w:spacing w:after="280" w:before="280" w:lineRule="auto"/>
        <w:jc w:val="both"/>
        <w:rPr/>
      </w:pPr>
      <w:r w:rsidDel="00000000" w:rsidR="00000000" w:rsidRPr="00000000">
        <w:rPr>
          <w:rtl w:val="0"/>
        </w:rPr>
        <w:t xml:space="preserve">Park, Y.E., Tak, Y.W., Kim, I., Lee, H.J., Lee, J.B., Lee, J.W. and Lee, Y., 2024. User experience and extended technology acceptance model in commercial health care app usage among patients with cancer: Mixed methods study. </w:t>
      </w:r>
      <w:r w:rsidDel="00000000" w:rsidR="00000000" w:rsidRPr="00000000">
        <w:rPr>
          <w:i w:val="1"/>
          <w:rtl w:val="0"/>
        </w:rPr>
        <w:t xml:space="preserve">Journal of Medical Internet Research</w:t>
      </w:r>
      <w:r w:rsidDel="00000000" w:rsidR="00000000" w:rsidRPr="00000000">
        <w:rPr>
          <w:rtl w:val="0"/>
        </w:rPr>
        <w:t xml:space="preserve">, 26, e55176. </w:t>
      </w:r>
      <w:hyperlink r:id="rId195">
        <w:r w:rsidDel="00000000" w:rsidR="00000000" w:rsidRPr="00000000">
          <w:rPr>
            <w:color w:val="0000ff"/>
            <w:u w:val="single"/>
            <w:rtl w:val="0"/>
          </w:rPr>
          <w:t xml:space="preserve">https://doi.org/10.2196/55176</w:t>
        </w:r>
      </w:hyperlink>
      <w:r w:rsidDel="00000000" w:rsidR="00000000" w:rsidRPr="00000000">
        <w:rPr>
          <w:rtl w:val="0"/>
        </w:rPr>
      </w:r>
    </w:p>
    <w:p w:rsidR="00000000" w:rsidDel="00000000" w:rsidP="00000000" w:rsidRDefault="00000000" w:rsidRPr="00000000" w14:paraId="00001803">
      <w:pPr>
        <w:spacing w:after="280" w:before="280" w:lineRule="auto"/>
        <w:jc w:val="both"/>
        <w:rPr/>
      </w:pPr>
      <w:r w:rsidDel="00000000" w:rsidR="00000000" w:rsidRPr="00000000">
        <w:rPr>
          <w:rtl w:val="0"/>
        </w:rPr>
        <w:t xml:space="preserve">Parnis, J., Magrin, A.M.F. and Hassan, H., 2024. The role, safety, and efficacy of hyperbaric oxygen therapy in aesthetic practice—An evidence-based review. </w:t>
      </w:r>
      <w:r w:rsidDel="00000000" w:rsidR="00000000" w:rsidRPr="00000000">
        <w:rPr>
          <w:i w:val="1"/>
          <w:rtl w:val="0"/>
        </w:rPr>
        <w:t xml:space="preserve">Journal of Cosmetic Dermatology</w:t>
      </w:r>
      <w:r w:rsidDel="00000000" w:rsidR="00000000" w:rsidRPr="00000000">
        <w:rPr>
          <w:rtl w:val="0"/>
        </w:rPr>
        <w:t xml:space="preserve">, 23, pp.1940–1955. </w:t>
      </w:r>
      <w:hyperlink r:id="rId196">
        <w:r w:rsidDel="00000000" w:rsidR="00000000" w:rsidRPr="00000000">
          <w:rPr>
            <w:color w:val="0000ff"/>
            <w:u w:val="single"/>
            <w:rtl w:val="0"/>
          </w:rPr>
          <w:t xml:space="preserve">https://doi.org/10.1111/jocd.16228</w:t>
        </w:r>
      </w:hyperlink>
      <w:r w:rsidDel="00000000" w:rsidR="00000000" w:rsidRPr="00000000">
        <w:rPr>
          <w:rtl w:val="0"/>
        </w:rPr>
      </w:r>
    </w:p>
    <w:p w:rsidR="00000000" w:rsidDel="00000000" w:rsidP="00000000" w:rsidRDefault="00000000" w:rsidRPr="00000000" w14:paraId="00001804">
      <w:pPr>
        <w:spacing w:after="280" w:before="280" w:lineRule="auto"/>
        <w:jc w:val="both"/>
        <w:rPr/>
      </w:pPr>
      <w:r w:rsidDel="00000000" w:rsidR="00000000" w:rsidRPr="00000000">
        <w:rPr>
          <w:rtl w:val="0"/>
        </w:rPr>
        <w:t xml:space="preserve">Patel, M.S., Asch, D.A. and Volpp, K.G., 2015. Wearable devices as facilitators, not drivers, of health behavior change. </w:t>
      </w:r>
      <w:r w:rsidDel="00000000" w:rsidR="00000000" w:rsidRPr="00000000">
        <w:rPr>
          <w:i w:val="1"/>
          <w:rtl w:val="0"/>
        </w:rPr>
        <w:t xml:space="preserve">JAMA</w:t>
      </w:r>
      <w:r w:rsidDel="00000000" w:rsidR="00000000" w:rsidRPr="00000000">
        <w:rPr>
          <w:rtl w:val="0"/>
        </w:rPr>
        <w:t xml:space="preserve">, 313(5), pp.459–460. </w:t>
      </w:r>
      <w:hyperlink r:id="rId197">
        <w:r w:rsidDel="00000000" w:rsidR="00000000" w:rsidRPr="00000000">
          <w:rPr>
            <w:color w:val="0000ff"/>
            <w:u w:val="single"/>
            <w:rtl w:val="0"/>
          </w:rPr>
          <w:t xml:space="preserve">https://doi.org/10.1001/jama.2014.14781</w:t>
        </w:r>
      </w:hyperlink>
      <w:r w:rsidDel="00000000" w:rsidR="00000000" w:rsidRPr="00000000">
        <w:rPr>
          <w:rtl w:val="0"/>
        </w:rPr>
      </w:r>
    </w:p>
    <w:p w:rsidR="00000000" w:rsidDel="00000000" w:rsidP="00000000" w:rsidRDefault="00000000" w:rsidRPr="00000000" w14:paraId="00001805">
      <w:pPr>
        <w:spacing w:after="280" w:before="280" w:lineRule="auto"/>
        <w:jc w:val="both"/>
        <w:rPr/>
      </w:pPr>
      <w:r w:rsidDel="00000000" w:rsidR="00000000" w:rsidRPr="00000000">
        <w:rPr>
          <w:rtl w:val="0"/>
        </w:rPr>
        <w:t xml:space="preserve">Pejic, W. and Frey, N., 2018. Hyperbaric oxygen therapy for the treatment of chronic pain: A review of clinical effectiveness and cost-effectiveness. </w:t>
      </w:r>
      <w:r w:rsidDel="00000000" w:rsidR="00000000" w:rsidRPr="00000000">
        <w:rPr>
          <w:i w:val="1"/>
          <w:rtl w:val="0"/>
        </w:rPr>
        <w:t xml:space="preserve">Canadian Agency for Drugs and Technologies in Health</w:t>
      </w:r>
      <w:r w:rsidDel="00000000" w:rsidR="00000000" w:rsidRPr="00000000">
        <w:rPr>
          <w:rtl w:val="0"/>
        </w:rPr>
        <w:t xml:space="preserve">. [online] Available at: </w:t>
      </w:r>
      <w:hyperlink r:id="rId198">
        <w:r w:rsidDel="00000000" w:rsidR="00000000" w:rsidRPr="00000000">
          <w:rPr>
            <w:color w:val="0000ff"/>
            <w:u w:val="single"/>
            <w:rtl w:val="0"/>
          </w:rPr>
          <w:t xml:space="preserve">https://www.ncbi.nlm.nih.gov/books/NBK537956/</w:t>
        </w:r>
      </w:hyperlink>
      <w:r w:rsidDel="00000000" w:rsidR="00000000" w:rsidRPr="00000000">
        <w:rPr>
          <w:rtl w:val="0"/>
        </w:rPr>
        <w:t xml:space="preserve"> [Accessed 18 May 2025].</w:t>
      </w:r>
    </w:p>
    <w:p w:rsidR="00000000" w:rsidDel="00000000" w:rsidP="00000000" w:rsidRDefault="00000000" w:rsidRPr="00000000" w14:paraId="00001806">
      <w:pPr>
        <w:spacing w:after="280" w:before="280" w:lineRule="auto"/>
        <w:jc w:val="both"/>
        <w:rPr/>
      </w:pPr>
      <w:r w:rsidDel="00000000" w:rsidR="00000000" w:rsidRPr="00000000">
        <w:rPr>
          <w:rtl w:val="0"/>
        </w:rPr>
        <w:t xml:space="preserve">Perwej, Y., Waghodekar, P., Bewoor, R., Singh, S. and Jaiswal, S., 2025. Blockchain for healthcare management: Enhancing data security and transparency. </w:t>
      </w:r>
      <w:r w:rsidDel="00000000" w:rsidR="00000000" w:rsidRPr="00000000">
        <w:rPr>
          <w:i w:val="1"/>
          <w:rtl w:val="0"/>
        </w:rPr>
        <w:t xml:space="preserve">South Eastern European Journal of Public Health</w:t>
      </w:r>
      <w:r w:rsidDel="00000000" w:rsidR="00000000" w:rsidRPr="00000000">
        <w:rPr>
          <w:rtl w:val="0"/>
        </w:rPr>
        <w:t xml:space="preserve">, 26, pp.1173–1184. </w:t>
      </w:r>
      <w:hyperlink r:id="rId199">
        <w:r w:rsidDel="00000000" w:rsidR="00000000" w:rsidRPr="00000000">
          <w:rPr>
            <w:color w:val="0000ff"/>
            <w:u w:val="single"/>
            <w:rtl w:val="0"/>
          </w:rPr>
          <w:t xml:space="preserve">https://doi.org/10.70135/seejph.vi.3831</w:t>
        </w:r>
      </w:hyperlink>
      <w:r w:rsidDel="00000000" w:rsidR="00000000" w:rsidRPr="00000000">
        <w:rPr>
          <w:rtl w:val="0"/>
        </w:rPr>
      </w:r>
    </w:p>
    <w:p w:rsidR="00000000" w:rsidDel="00000000" w:rsidP="00000000" w:rsidRDefault="00000000" w:rsidRPr="00000000" w14:paraId="00001807">
      <w:pPr>
        <w:spacing w:after="280" w:before="280" w:lineRule="auto"/>
        <w:jc w:val="both"/>
        <w:rPr/>
      </w:pPr>
      <w:r w:rsidDel="00000000" w:rsidR="00000000" w:rsidRPr="00000000">
        <w:rPr>
          <w:rtl w:val="0"/>
        </w:rPr>
        <w:t xml:space="preserve">Piwek, L., Ellis, D.A., Andrews, S. and Joinson, A., 2016. The rise of consumer health wearables: Promises and barriers. </w:t>
      </w:r>
      <w:r w:rsidDel="00000000" w:rsidR="00000000" w:rsidRPr="00000000">
        <w:rPr>
          <w:i w:val="1"/>
          <w:rtl w:val="0"/>
        </w:rPr>
        <w:t xml:space="preserve">PLOS Medicine</w:t>
      </w:r>
      <w:r w:rsidDel="00000000" w:rsidR="00000000" w:rsidRPr="00000000">
        <w:rPr>
          <w:rtl w:val="0"/>
        </w:rPr>
        <w:t xml:space="preserve">, 13(2), e1001953. </w:t>
      </w:r>
      <w:hyperlink r:id="rId200">
        <w:r w:rsidDel="00000000" w:rsidR="00000000" w:rsidRPr="00000000">
          <w:rPr>
            <w:color w:val="0000ff"/>
            <w:u w:val="single"/>
            <w:rtl w:val="0"/>
          </w:rPr>
          <w:t xml:space="preserve">https://doi.org/10.1371/journal.pmed.1001953</w:t>
        </w:r>
      </w:hyperlink>
      <w:r w:rsidDel="00000000" w:rsidR="00000000" w:rsidRPr="00000000">
        <w:rPr>
          <w:rtl w:val="0"/>
        </w:rPr>
      </w:r>
    </w:p>
    <w:p w:rsidR="00000000" w:rsidDel="00000000" w:rsidP="00000000" w:rsidRDefault="00000000" w:rsidRPr="00000000" w14:paraId="00001808">
      <w:pPr>
        <w:spacing w:after="280" w:before="280" w:lineRule="auto"/>
        <w:jc w:val="both"/>
        <w:rPr/>
      </w:pPr>
      <w:r w:rsidDel="00000000" w:rsidR="00000000" w:rsidRPr="00000000">
        <w:rPr>
          <w:rtl w:val="0"/>
        </w:rPr>
        <w:t xml:space="preserve">Piwek, L., Ellis, D.A., Andrews, S. and Joinson, A., 2016. The rise of consumer health wearables: Promises and barriers. </w:t>
      </w:r>
      <w:r w:rsidDel="00000000" w:rsidR="00000000" w:rsidRPr="00000000">
        <w:rPr>
          <w:i w:val="1"/>
          <w:rtl w:val="0"/>
        </w:rPr>
        <w:t xml:space="preserve">PLOS Medicine</w:t>
      </w:r>
      <w:r w:rsidDel="00000000" w:rsidR="00000000" w:rsidRPr="00000000">
        <w:rPr>
          <w:rtl w:val="0"/>
        </w:rPr>
        <w:t xml:space="preserve">, 13(2), e1001953. </w:t>
      </w:r>
      <w:hyperlink r:id="rId201">
        <w:r w:rsidDel="00000000" w:rsidR="00000000" w:rsidRPr="00000000">
          <w:rPr>
            <w:color w:val="0000ff"/>
            <w:u w:val="single"/>
            <w:rtl w:val="0"/>
          </w:rPr>
          <w:t xml:space="preserve">https://doi.org/10.1371/journal.pmed.1001953</w:t>
        </w:r>
      </w:hyperlink>
      <w:r w:rsidDel="00000000" w:rsidR="00000000" w:rsidRPr="00000000">
        <w:rPr>
          <w:rtl w:val="0"/>
        </w:rPr>
      </w:r>
    </w:p>
    <w:p w:rsidR="00000000" w:rsidDel="00000000" w:rsidP="00000000" w:rsidRDefault="00000000" w:rsidRPr="00000000" w14:paraId="00001809">
      <w:pPr>
        <w:spacing w:after="280" w:before="280" w:lineRule="auto"/>
        <w:jc w:val="both"/>
        <w:rPr/>
      </w:pPr>
      <w:r w:rsidDel="00000000" w:rsidR="00000000" w:rsidRPr="00000000">
        <w:rPr>
          <w:rtl w:val="0"/>
        </w:rPr>
        <w:t xml:space="preserve">Qu, C., Wu, Z., Xu, M., Qin, F., Dong, Y., Wang, Z. and Zhao, J., 2020. Cryotherapy models and timing-sequence recovery of exercise-induced muscle damage in middle- and long-distance runners. </w:t>
      </w:r>
      <w:r w:rsidDel="00000000" w:rsidR="00000000" w:rsidRPr="00000000">
        <w:rPr>
          <w:i w:val="1"/>
          <w:rtl w:val="0"/>
        </w:rPr>
        <w:t xml:space="preserve">Journal of Athletic Training</w:t>
      </w:r>
      <w:r w:rsidDel="00000000" w:rsidR="00000000" w:rsidRPr="00000000">
        <w:rPr>
          <w:rtl w:val="0"/>
        </w:rPr>
        <w:t xml:space="preserve">, 55(4), pp.329–335. </w:t>
      </w:r>
      <w:hyperlink r:id="rId202">
        <w:r w:rsidDel="00000000" w:rsidR="00000000" w:rsidRPr="00000000">
          <w:rPr>
            <w:color w:val="0000ff"/>
            <w:u w:val="single"/>
            <w:rtl w:val="0"/>
          </w:rPr>
          <w:t xml:space="preserve">https://doi.org/10.4085/1062-6050-529-18</w:t>
        </w:r>
      </w:hyperlink>
      <w:r w:rsidDel="00000000" w:rsidR="00000000" w:rsidRPr="00000000">
        <w:rPr>
          <w:rtl w:val="0"/>
        </w:rPr>
      </w:r>
    </w:p>
    <w:p w:rsidR="00000000" w:rsidDel="00000000" w:rsidP="00000000" w:rsidRDefault="00000000" w:rsidRPr="00000000" w14:paraId="0000180A">
      <w:pPr>
        <w:spacing w:after="280" w:before="280" w:lineRule="auto"/>
        <w:jc w:val="both"/>
        <w:rPr/>
      </w:pPr>
      <w:r w:rsidDel="00000000" w:rsidR="00000000" w:rsidRPr="00000000">
        <w:rPr>
          <w:rtl w:val="0"/>
        </w:rPr>
        <w:t xml:space="preserve">Raderstorf, T., Bisognano, M. and Trinter, K., 2022. How to leverage innovation models to achieve health equity: Build. Measure. Share. </w:t>
      </w:r>
      <w:r w:rsidDel="00000000" w:rsidR="00000000" w:rsidRPr="00000000">
        <w:rPr>
          <w:i w:val="1"/>
          <w:rtl w:val="0"/>
        </w:rPr>
        <w:t xml:space="preserve">Nursing Outlook</w:t>
      </w:r>
      <w:r w:rsidDel="00000000" w:rsidR="00000000" w:rsidRPr="00000000">
        <w:rPr>
          <w:rtl w:val="0"/>
        </w:rPr>
        <w:t xml:space="preserve">, 70(6, Suppl. 1), pp.S88–S95. </w:t>
      </w:r>
      <w:hyperlink r:id="rId203">
        <w:r w:rsidDel="00000000" w:rsidR="00000000" w:rsidRPr="00000000">
          <w:rPr>
            <w:color w:val="0000ff"/>
            <w:u w:val="single"/>
            <w:rtl w:val="0"/>
          </w:rPr>
          <w:t xml:space="preserve">https://doi.org/10.1016/j.outlook.2022.05.009</w:t>
        </w:r>
      </w:hyperlink>
      <w:r w:rsidDel="00000000" w:rsidR="00000000" w:rsidRPr="00000000">
        <w:rPr>
          <w:rtl w:val="0"/>
        </w:rPr>
      </w:r>
    </w:p>
    <w:p w:rsidR="00000000" w:rsidDel="00000000" w:rsidP="00000000" w:rsidRDefault="00000000" w:rsidRPr="00000000" w14:paraId="0000180B">
      <w:pPr>
        <w:spacing w:after="280" w:before="280" w:lineRule="auto"/>
        <w:jc w:val="both"/>
        <w:rPr/>
      </w:pPr>
      <w:r w:rsidDel="00000000" w:rsidR="00000000" w:rsidRPr="00000000">
        <w:rPr>
          <w:rtl w:val="0"/>
        </w:rPr>
        <w:t xml:space="preserve">Ragin, C.C., 2009. </w:t>
      </w:r>
      <w:r w:rsidDel="00000000" w:rsidR="00000000" w:rsidRPr="00000000">
        <w:rPr>
          <w:i w:val="1"/>
          <w:rtl w:val="0"/>
        </w:rPr>
        <w:t xml:space="preserve">Redesigning social inquiry: Fuzzy sets and beyond</w:t>
      </w:r>
      <w:r w:rsidDel="00000000" w:rsidR="00000000" w:rsidRPr="00000000">
        <w:rPr>
          <w:rtl w:val="0"/>
        </w:rPr>
        <w:t xml:space="preserve">. Chicago: University of Chicago Press.</w:t>
      </w:r>
    </w:p>
    <w:p w:rsidR="00000000" w:rsidDel="00000000" w:rsidP="00000000" w:rsidRDefault="00000000" w:rsidRPr="00000000" w14:paraId="0000180C">
      <w:pPr>
        <w:spacing w:after="280" w:before="280" w:lineRule="auto"/>
        <w:jc w:val="both"/>
        <w:rPr/>
      </w:pPr>
      <w:r w:rsidDel="00000000" w:rsidR="00000000" w:rsidRPr="00000000">
        <w:rPr>
          <w:rtl w:val="0"/>
        </w:rPr>
        <w:t xml:space="preserve">Rahimi, B., Nadri, H., Lotfnezhad Afshar, H. and Timpka, T., 2018. A systematic review of the Technology Acceptance Model in health informatics. </w:t>
      </w:r>
      <w:r w:rsidDel="00000000" w:rsidR="00000000" w:rsidRPr="00000000">
        <w:rPr>
          <w:i w:val="1"/>
          <w:rtl w:val="0"/>
        </w:rPr>
        <w:t xml:space="preserve">Applied Clinical Informatics</w:t>
      </w:r>
      <w:r w:rsidDel="00000000" w:rsidR="00000000" w:rsidRPr="00000000">
        <w:rPr>
          <w:rtl w:val="0"/>
        </w:rPr>
        <w:t xml:space="preserve">, 9(3), pp.604–634. </w:t>
      </w:r>
      <w:hyperlink r:id="rId204">
        <w:r w:rsidDel="00000000" w:rsidR="00000000" w:rsidRPr="00000000">
          <w:rPr>
            <w:color w:val="0000ff"/>
            <w:u w:val="single"/>
            <w:rtl w:val="0"/>
          </w:rPr>
          <w:t xml:space="preserve">https://doi.org/10.1055/s-0038-1668091</w:t>
        </w:r>
      </w:hyperlink>
      <w:r w:rsidDel="00000000" w:rsidR="00000000" w:rsidRPr="00000000">
        <w:rPr>
          <w:rtl w:val="0"/>
        </w:rPr>
      </w:r>
    </w:p>
    <w:p w:rsidR="00000000" w:rsidDel="00000000" w:rsidP="00000000" w:rsidRDefault="00000000" w:rsidRPr="00000000" w14:paraId="0000180D">
      <w:pPr>
        <w:spacing w:after="280" w:before="280" w:lineRule="auto"/>
        <w:jc w:val="both"/>
        <w:rPr/>
      </w:pPr>
      <w:r w:rsidDel="00000000" w:rsidR="00000000" w:rsidRPr="00000000">
        <w:rPr>
          <w:rtl w:val="0"/>
        </w:rPr>
        <w:t xml:space="preserve">Raman, R., Mandal, S., Das, P., Kaur, T., Sanjanasri, J.P. and Nedungadi, P., 2024. Exploring university students’ adoption of ChatGPT using the diffusion of innovation theory and sentiment analysis with gender dimension. </w:t>
      </w:r>
      <w:r w:rsidDel="00000000" w:rsidR="00000000" w:rsidRPr="00000000">
        <w:rPr>
          <w:i w:val="1"/>
          <w:rtl w:val="0"/>
        </w:rPr>
        <w:t xml:space="preserve">Human Behavior and Emerging Technologies</w:t>
      </w:r>
      <w:r w:rsidDel="00000000" w:rsidR="00000000" w:rsidRPr="00000000">
        <w:rPr>
          <w:rtl w:val="0"/>
        </w:rPr>
        <w:t xml:space="preserve">, Article 3085910, 21 pages. </w:t>
      </w:r>
      <w:hyperlink r:id="rId205">
        <w:r w:rsidDel="00000000" w:rsidR="00000000" w:rsidRPr="00000000">
          <w:rPr>
            <w:color w:val="0000ff"/>
            <w:u w:val="single"/>
            <w:rtl w:val="0"/>
          </w:rPr>
          <w:t xml:space="preserve">https://doi.org/10.1155/2024/3085910</w:t>
        </w:r>
      </w:hyperlink>
      <w:r w:rsidDel="00000000" w:rsidR="00000000" w:rsidRPr="00000000">
        <w:rPr>
          <w:rtl w:val="0"/>
        </w:rPr>
      </w:r>
    </w:p>
    <w:p w:rsidR="00000000" w:rsidDel="00000000" w:rsidP="00000000" w:rsidRDefault="00000000" w:rsidRPr="00000000" w14:paraId="0000180E">
      <w:pPr>
        <w:spacing w:after="280" w:before="280" w:lineRule="auto"/>
        <w:jc w:val="both"/>
        <w:rPr/>
      </w:pPr>
      <w:r w:rsidDel="00000000" w:rsidR="00000000" w:rsidRPr="00000000">
        <w:rPr>
          <w:rtl w:val="0"/>
        </w:rPr>
        <w:t xml:space="preserve">Rasoolimanesh, S.M., Seyfi, S., Rather, R.A. and Hall, C.M., 2022. Investigating the mediating role of visitor satisfaction in the relationship between memorable tourism experiences and behavioral intentions in heritage tourism context. </w:t>
      </w:r>
      <w:r w:rsidDel="00000000" w:rsidR="00000000" w:rsidRPr="00000000">
        <w:rPr>
          <w:i w:val="1"/>
          <w:rtl w:val="0"/>
        </w:rPr>
        <w:t xml:space="preserve">Tourism Review</w:t>
      </w:r>
      <w:r w:rsidDel="00000000" w:rsidR="00000000" w:rsidRPr="00000000">
        <w:rPr>
          <w:rtl w:val="0"/>
        </w:rPr>
        <w:t xml:space="preserve">, 77(2), pp.687–709. </w:t>
      </w:r>
      <w:hyperlink r:id="rId206">
        <w:r w:rsidDel="00000000" w:rsidR="00000000" w:rsidRPr="00000000">
          <w:rPr>
            <w:color w:val="0000ff"/>
            <w:u w:val="single"/>
            <w:rtl w:val="0"/>
          </w:rPr>
          <w:t xml:space="preserve">https://doi.org/10.1108/TR-03-2021-0114</w:t>
        </w:r>
      </w:hyperlink>
      <w:r w:rsidDel="00000000" w:rsidR="00000000" w:rsidRPr="00000000">
        <w:rPr>
          <w:rtl w:val="0"/>
        </w:rPr>
      </w:r>
    </w:p>
    <w:p w:rsidR="00000000" w:rsidDel="00000000" w:rsidP="00000000" w:rsidRDefault="00000000" w:rsidRPr="00000000" w14:paraId="0000180F">
      <w:pPr>
        <w:spacing w:after="280" w:before="280" w:lineRule="auto"/>
        <w:jc w:val="both"/>
        <w:rPr/>
      </w:pPr>
      <w:r w:rsidDel="00000000" w:rsidR="00000000" w:rsidRPr="00000000">
        <w:rPr>
          <w:rtl w:val="0"/>
        </w:rPr>
        <w:t xml:space="preserve">Ratz, T. and Lippke, S., 2022. Health behavior change. In: G.J.G. Asmundson, ed. </w:t>
      </w:r>
      <w:r w:rsidDel="00000000" w:rsidR="00000000" w:rsidRPr="00000000">
        <w:rPr>
          <w:i w:val="1"/>
          <w:rtl w:val="0"/>
        </w:rPr>
        <w:t xml:space="preserve">Comprehensive Clinical Psychology</w:t>
      </w:r>
      <w:r w:rsidDel="00000000" w:rsidR="00000000" w:rsidRPr="00000000">
        <w:rPr>
          <w:rtl w:val="0"/>
        </w:rPr>
        <w:t xml:space="preserve">. 2nd ed. Elsevier, pp.95–117. </w:t>
      </w:r>
      <w:hyperlink r:id="rId207">
        <w:r w:rsidDel="00000000" w:rsidR="00000000" w:rsidRPr="00000000">
          <w:rPr>
            <w:color w:val="0000ff"/>
            <w:u w:val="single"/>
            <w:rtl w:val="0"/>
          </w:rPr>
          <w:t xml:space="preserve">https://doi.org/10.1016/B978-0-12-818697-8.00068-6</w:t>
        </w:r>
      </w:hyperlink>
      <w:r w:rsidDel="00000000" w:rsidR="00000000" w:rsidRPr="00000000">
        <w:rPr>
          <w:rtl w:val="0"/>
        </w:rPr>
      </w:r>
    </w:p>
    <w:p w:rsidR="00000000" w:rsidDel="00000000" w:rsidP="00000000" w:rsidRDefault="00000000" w:rsidRPr="00000000" w14:paraId="00001810">
      <w:pPr>
        <w:spacing w:after="280" w:before="280" w:lineRule="auto"/>
        <w:jc w:val="both"/>
        <w:rPr/>
      </w:pPr>
      <w:r w:rsidDel="00000000" w:rsidR="00000000" w:rsidRPr="00000000">
        <w:rPr>
          <w:rtl w:val="0"/>
        </w:rPr>
        <w:t xml:space="preserve">Ray, P.P., 2023. ChatGPT: A comprehensive review on background, applications, key challenges, bias, ethics, limitations and future scope. </w:t>
      </w:r>
      <w:r w:rsidDel="00000000" w:rsidR="00000000" w:rsidRPr="00000000">
        <w:rPr>
          <w:i w:val="1"/>
          <w:rtl w:val="0"/>
        </w:rPr>
        <w:t xml:space="preserve">Internet of Things and Cyber-Physical Systems</w:t>
      </w:r>
      <w:r w:rsidDel="00000000" w:rsidR="00000000" w:rsidRPr="00000000">
        <w:rPr>
          <w:rtl w:val="0"/>
        </w:rPr>
        <w:t xml:space="preserve">, 3, pp.121–154. </w:t>
      </w:r>
      <w:hyperlink r:id="rId208">
        <w:r w:rsidDel="00000000" w:rsidR="00000000" w:rsidRPr="00000000">
          <w:rPr>
            <w:color w:val="0000ff"/>
            <w:u w:val="single"/>
            <w:rtl w:val="0"/>
          </w:rPr>
          <w:t xml:space="preserve">https://doi.org/10.1016/j.iotcps.2023.04.003</w:t>
        </w:r>
      </w:hyperlink>
      <w:r w:rsidDel="00000000" w:rsidR="00000000" w:rsidRPr="00000000">
        <w:rPr>
          <w:rtl w:val="0"/>
        </w:rPr>
      </w:r>
    </w:p>
    <w:p w:rsidR="00000000" w:rsidDel="00000000" w:rsidP="00000000" w:rsidRDefault="00000000" w:rsidRPr="00000000" w14:paraId="00001811">
      <w:pPr>
        <w:spacing w:after="280" w:before="280" w:lineRule="auto"/>
        <w:jc w:val="both"/>
        <w:rPr/>
      </w:pPr>
      <w:r w:rsidDel="00000000" w:rsidR="00000000" w:rsidRPr="00000000">
        <w:rPr>
          <w:rtl w:val="0"/>
        </w:rPr>
        <w:t xml:space="preserve">Reed, E.L., Chapman, C.L., Whittman, E.K., Park, T.E., Larson, E.A., Kaiser, B.W., Comrada, L.N., Needham, K.W., Halliwill, J.R. and Minson, C.T., 2023. Cardiovascular and mood responses to an acute bout of cold water immersion. </w:t>
      </w:r>
      <w:r w:rsidDel="00000000" w:rsidR="00000000" w:rsidRPr="00000000">
        <w:rPr>
          <w:i w:val="1"/>
          <w:rtl w:val="0"/>
        </w:rPr>
        <w:t xml:space="preserve">Journal of Thermal Biology</w:t>
      </w:r>
      <w:r w:rsidDel="00000000" w:rsidR="00000000" w:rsidRPr="00000000">
        <w:rPr>
          <w:rtl w:val="0"/>
        </w:rPr>
        <w:t xml:space="preserve">, 118, 103727. </w:t>
      </w:r>
      <w:hyperlink r:id="rId209">
        <w:r w:rsidDel="00000000" w:rsidR="00000000" w:rsidRPr="00000000">
          <w:rPr>
            <w:color w:val="0000ff"/>
            <w:u w:val="single"/>
            <w:rtl w:val="0"/>
          </w:rPr>
          <w:t xml:space="preserve">https://doi.org/10.1016/j.jtherbio.2023.103727</w:t>
        </w:r>
      </w:hyperlink>
      <w:r w:rsidDel="00000000" w:rsidR="00000000" w:rsidRPr="00000000">
        <w:rPr>
          <w:rtl w:val="0"/>
        </w:rPr>
      </w:r>
    </w:p>
    <w:p w:rsidR="00000000" w:rsidDel="00000000" w:rsidP="00000000" w:rsidRDefault="00000000" w:rsidRPr="00000000" w14:paraId="00001812">
      <w:pPr>
        <w:spacing w:after="280" w:before="280" w:lineRule="auto"/>
        <w:jc w:val="both"/>
        <w:rPr/>
      </w:pPr>
      <w:r w:rsidDel="00000000" w:rsidR="00000000" w:rsidRPr="00000000">
        <w:rPr>
          <w:rtl w:val="0"/>
        </w:rPr>
        <w:t xml:space="preserve">Renukappa, S., Mudiyi, P., Suresh, S., Abdalla, W. and Subbarao, C., 2022. Evaluation of challenges for adoption of smart healthcare strategies. </w:t>
      </w:r>
      <w:r w:rsidDel="00000000" w:rsidR="00000000" w:rsidRPr="00000000">
        <w:rPr>
          <w:i w:val="1"/>
          <w:rtl w:val="0"/>
        </w:rPr>
        <w:t xml:space="preserve">Smart Health</w:t>
      </w:r>
      <w:r w:rsidDel="00000000" w:rsidR="00000000" w:rsidRPr="00000000">
        <w:rPr>
          <w:rtl w:val="0"/>
        </w:rPr>
        <w:t xml:space="preserve">, 26, 100330. </w:t>
      </w:r>
      <w:hyperlink r:id="rId210">
        <w:r w:rsidDel="00000000" w:rsidR="00000000" w:rsidRPr="00000000">
          <w:rPr>
            <w:color w:val="0000ff"/>
            <w:u w:val="single"/>
            <w:rtl w:val="0"/>
          </w:rPr>
          <w:t xml:space="preserve">https://doi.org/10.1016/j.smhl.2022.100330</w:t>
        </w:r>
      </w:hyperlink>
      <w:r w:rsidDel="00000000" w:rsidR="00000000" w:rsidRPr="00000000">
        <w:rPr>
          <w:rtl w:val="0"/>
        </w:rPr>
      </w:r>
    </w:p>
    <w:p w:rsidR="00000000" w:rsidDel="00000000" w:rsidP="00000000" w:rsidRDefault="00000000" w:rsidRPr="00000000" w14:paraId="00001813">
      <w:pPr>
        <w:spacing w:after="280" w:before="280" w:lineRule="auto"/>
        <w:jc w:val="both"/>
        <w:rPr/>
      </w:pPr>
      <w:r w:rsidDel="00000000" w:rsidR="00000000" w:rsidRPr="00000000">
        <w:rPr>
          <w:rtl w:val="0"/>
        </w:rPr>
        <w:t xml:space="preserve">Rigdon, E.E., Sarstedt, M. and Ringle, C.M., 2017. On comparing results from CB-SEM and PLS-SEM: Five perspectives and five recommendations. </w:t>
      </w:r>
      <w:r w:rsidDel="00000000" w:rsidR="00000000" w:rsidRPr="00000000">
        <w:rPr>
          <w:i w:val="1"/>
          <w:rtl w:val="0"/>
        </w:rPr>
        <w:t xml:space="preserve">Marketing: ZFP – Journal of Research and Management</w:t>
      </w:r>
      <w:r w:rsidDel="00000000" w:rsidR="00000000" w:rsidRPr="00000000">
        <w:rPr>
          <w:rtl w:val="0"/>
        </w:rPr>
        <w:t xml:space="preserve">, 39(3), pp.4–16. </w:t>
      </w:r>
      <w:hyperlink r:id="rId211">
        <w:r w:rsidDel="00000000" w:rsidR="00000000" w:rsidRPr="00000000">
          <w:rPr>
            <w:color w:val="0000ff"/>
            <w:u w:val="single"/>
            <w:rtl w:val="0"/>
          </w:rPr>
          <w:t xml:space="preserve">https://doi.org/10.15358/0344-1369-2017-3-4</w:t>
        </w:r>
      </w:hyperlink>
      <w:r w:rsidDel="00000000" w:rsidR="00000000" w:rsidRPr="00000000">
        <w:rPr>
          <w:rtl w:val="0"/>
        </w:rPr>
      </w:r>
    </w:p>
    <w:p w:rsidR="00000000" w:rsidDel="00000000" w:rsidP="00000000" w:rsidRDefault="00000000" w:rsidRPr="00000000" w14:paraId="00001814">
      <w:pPr>
        <w:spacing w:after="280" w:before="280" w:lineRule="auto"/>
        <w:jc w:val="both"/>
        <w:rPr/>
      </w:pPr>
      <w:r w:rsidDel="00000000" w:rsidR="00000000" w:rsidRPr="00000000">
        <w:rPr>
          <w:rtl w:val="0"/>
        </w:rPr>
        <w:t xml:space="preserve">Ringle, C.M., Wende, S. and Becker, J.-M., 2015. </w:t>
      </w:r>
      <w:r w:rsidDel="00000000" w:rsidR="00000000" w:rsidRPr="00000000">
        <w:rPr>
          <w:i w:val="1"/>
          <w:rtl w:val="0"/>
        </w:rPr>
        <w:t xml:space="preserve">SmartPLS 3</w:t>
      </w:r>
      <w:r w:rsidDel="00000000" w:rsidR="00000000" w:rsidRPr="00000000">
        <w:rPr>
          <w:rtl w:val="0"/>
        </w:rPr>
        <w:t xml:space="preserve"> [Computer software]. Bönningstedt: SmartPLS. </w:t>
      </w:r>
      <w:hyperlink r:id="rId212">
        <w:r w:rsidDel="00000000" w:rsidR="00000000" w:rsidRPr="00000000">
          <w:rPr>
            <w:color w:val="0000ff"/>
            <w:u w:val="single"/>
            <w:rtl w:val="0"/>
          </w:rPr>
          <w:t xml:space="preserve">https://www.smartpls.com</w:t>
        </w:r>
      </w:hyperlink>
      <w:r w:rsidDel="00000000" w:rsidR="00000000" w:rsidRPr="00000000">
        <w:rPr>
          <w:rtl w:val="0"/>
        </w:rPr>
      </w:r>
    </w:p>
    <w:p w:rsidR="00000000" w:rsidDel="00000000" w:rsidP="00000000" w:rsidRDefault="00000000" w:rsidRPr="00000000" w14:paraId="00001815">
      <w:pPr>
        <w:spacing w:after="280" w:before="280" w:lineRule="auto"/>
        <w:jc w:val="both"/>
        <w:rPr/>
      </w:pPr>
      <w:r w:rsidDel="00000000" w:rsidR="00000000" w:rsidRPr="00000000">
        <w:rPr>
          <w:rtl w:val="0"/>
        </w:rPr>
        <w:t xml:space="preserve">Roberts, R., Flin, R., Millar, D. and Corradi, L., 2021. Psychological factors influencing technology adoption: A case study from the oil and gas industry. </w:t>
      </w:r>
      <w:r w:rsidDel="00000000" w:rsidR="00000000" w:rsidRPr="00000000">
        <w:rPr>
          <w:i w:val="1"/>
          <w:rtl w:val="0"/>
        </w:rPr>
        <w:t xml:space="preserve">Technovation</w:t>
      </w:r>
      <w:r w:rsidDel="00000000" w:rsidR="00000000" w:rsidRPr="00000000">
        <w:rPr>
          <w:rtl w:val="0"/>
        </w:rPr>
        <w:t xml:space="preserve">, 102, 102219. </w:t>
      </w:r>
      <w:hyperlink r:id="rId213">
        <w:r w:rsidDel="00000000" w:rsidR="00000000" w:rsidRPr="00000000">
          <w:rPr>
            <w:color w:val="0000ff"/>
            <w:u w:val="single"/>
            <w:rtl w:val="0"/>
          </w:rPr>
          <w:t xml:space="preserve">https://doi.org/10.1016/j.technovation.2020.102219</w:t>
        </w:r>
      </w:hyperlink>
      <w:r w:rsidDel="00000000" w:rsidR="00000000" w:rsidRPr="00000000">
        <w:rPr>
          <w:rtl w:val="0"/>
        </w:rPr>
      </w:r>
    </w:p>
    <w:p w:rsidR="00000000" w:rsidDel="00000000" w:rsidP="00000000" w:rsidRDefault="00000000" w:rsidRPr="00000000" w14:paraId="00001816">
      <w:pPr>
        <w:spacing w:after="280" w:before="280" w:lineRule="auto"/>
        <w:jc w:val="both"/>
        <w:rPr/>
      </w:pPr>
      <w:r w:rsidDel="00000000" w:rsidR="00000000" w:rsidRPr="00000000">
        <w:rPr>
          <w:rtl w:val="0"/>
        </w:rPr>
        <w:t xml:space="preserve">Rodrigues, D.A., Roque, M., Mateos-Campos, R., Figueiras, A., Herdeiro, M.T. and Roque, F., 2024. Barriers and facilitators of health professionals in adopting digital health-related tools for medication appropriateness: A systematic review. </w:t>
      </w:r>
      <w:r w:rsidDel="00000000" w:rsidR="00000000" w:rsidRPr="00000000">
        <w:rPr>
          <w:i w:val="1"/>
          <w:rtl w:val="0"/>
        </w:rPr>
        <w:t xml:space="preserve">Digital Health</w:t>
      </w:r>
      <w:r w:rsidDel="00000000" w:rsidR="00000000" w:rsidRPr="00000000">
        <w:rPr>
          <w:rtl w:val="0"/>
        </w:rPr>
        <w:t xml:space="preserve">, 10, 20552076231225133. </w:t>
      </w:r>
      <w:hyperlink r:id="rId214">
        <w:r w:rsidDel="00000000" w:rsidR="00000000" w:rsidRPr="00000000">
          <w:rPr>
            <w:color w:val="0000ff"/>
            <w:u w:val="single"/>
            <w:rtl w:val="0"/>
          </w:rPr>
          <w:t xml:space="preserve">https://doi.org/10.1177/20552076231225133</w:t>
        </w:r>
      </w:hyperlink>
      <w:r w:rsidDel="00000000" w:rsidR="00000000" w:rsidRPr="00000000">
        <w:rPr>
          <w:rtl w:val="0"/>
        </w:rPr>
      </w:r>
    </w:p>
    <w:p w:rsidR="00000000" w:rsidDel="00000000" w:rsidP="00000000" w:rsidRDefault="00000000" w:rsidRPr="00000000" w14:paraId="00001817">
      <w:pPr>
        <w:spacing w:after="280" w:before="280" w:lineRule="auto"/>
        <w:jc w:val="both"/>
        <w:rPr/>
      </w:pPr>
      <w:r w:rsidDel="00000000" w:rsidR="00000000" w:rsidRPr="00000000">
        <w:rPr>
          <w:rtl w:val="0"/>
        </w:rPr>
        <w:t xml:space="preserve">Rodriguez-Manzano, J., Subramaniam, S., Uchea, C., Szostak-Lipowicz, K.M., Freeman, J., Rauch, M., Tinto, H., Zar, H.J., D'Alessandro, U., Holmes, A.H. and Awandare, G.A., 2024. Innovative diagnostic technologies: Navigating regulatory frameworks through advances, challenges, and future prospects. </w:t>
      </w:r>
      <w:r w:rsidDel="00000000" w:rsidR="00000000" w:rsidRPr="00000000">
        <w:rPr>
          <w:i w:val="1"/>
          <w:rtl w:val="0"/>
        </w:rPr>
        <w:t xml:space="preserve">The Lancet Digital Health</w:t>
      </w:r>
      <w:r w:rsidDel="00000000" w:rsidR="00000000" w:rsidRPr="00000000">
        <w:rPr>
          <w:rtl w:val="0"/>
        </w:rPr>
        <w:t xml:space="preserve">, 6(12), pp.e934–e943. </w:t>
      </w:r>
      <w:hyperlink r:id="rId215">
        <w:r w:rsidDel="00000000" w:rsidR="00000000" w:rsidRPr="00000000">
          <w:rPr>
            <w:color w:val="0000ff"/>
            <w:u w:val="single"/>
            <w:rtl w:val="0"/>
          </w:rPr>
          <w:t xml:space="preserve">https://doi.org/10.1016/S2589-7500(24)00242-5</w:t>
        </w:r>
      </w:hyperlink>
      <w:r w:rsidDel="00000000" w:rsidR="00000000" w:rsidRPr="00000000">
        <w:rPr>
          <w:rtl w:val="0"/>
        </w:rPr>
      </w:r>
    </w:p>
    <w:p w:rsidR="00000000" w:rsidDel="00000000" w:rsidP="00000000" w:rsidRDefault="00000000" w:rsidRPr="00000000" w14:paraId="00001818">
      <w:pPr>
        <w:spacing w:after="280" w:before="280" w:lineRule="auto"/>
        <w:jc w:val="both"/>
        <w:rPr/>
      </w:pPr>
      <w:r w:rsidDel="00000000" w:rsidR="00000000" w:rsidRPr="00000000">
        <w:rPr>
          <w:rtl w:val="0"/>
        </w:rPr>
        <w:t xml:space="preserve">Roffarello, A. and De Russis, L., 2022. Achieving digital wellbeing through digital self-control tools: A systematic review and meta-analysis. </w:t>
      </w:r>
      <w:r w:rsidDel="00000000" w:rsidR="00000000" w:rsidRPr="00000000">
        <w:rPr>
          <w:i w:val="1"/>
          <w:rtl w:val="0"/>
        </w:rPr>
        <w:t xml:space="preserve">ACM Transactions on Computer-Human Interaction</w:t>
      </w:r>
      <w:r w:rsidDel="00000000" w:rsidR="00000000" w:rsidRPr="00000000">
        <w:rPr>
          <w:rtl w:val="0"/>
        </w:rPr>
        <w:t xml:space="preserve">, 30. </w:t>
      </w:r>
      <w:hyperlink r:id="rId216">
        <w:r w:rsidDel="00000000" w:rsidR="00000000" w:rsidRPr="00000000">
          <w:rPr>
            <w:color w:val="0000ff"/>
            <w:u w:val="single"/>
            <w:rtl w:val="0"/>
          </w:rPr>
          <w:t xml:space="preserve">https://doi.org/10.1145/3571810</w:t>
        </w:r>
      </w:hyperlink>
      <w:r w:rsidDel="00000000" w:rsidR="00000000" w:rsidRPr="00000000">
        <w:rPr>
          <w:rtl w:val="0"/>
        </w:rPr>
      </w:r>
    </w:p>
    <w:p w:rsidR="00000000" w:rsidDel="00000000" w:rsidP="00000000" w:rsidRDefault="00000000" w:rsidRPr="00000000" w14:paraId="00001819">
      <w:pPr>
        <w:spacing w:after="280" w:before="280" w:lineRule="auto"/>
        <w:jc w:val="both"/>
        <w:rPr/>
      </w:pPr>
      <w:r w:rsidDel="00000000" w:rsidR="00000000" w:rsidRPr="00000000">
        <w:rPr>
          <w:rtl w:val="0"/>
        </w:rPr>
        <w:t xml:space="preserve">Ruiz-Herrera, L.G., Valencia-Arias, A., Gallegos, A., Benjumea-Arias, M. and Flores-Siapo, E., 2023. Technology acceptance factors of e-commerce among young people: An integration of the Technology Acceptance Model and Theory of Planned Behavior. </w:t>
      </w:r>
      <w:r w:rsidDel="00000000" w:rsidR="00000000" w:rsidRPr="00000000">
        <w:rPr>
          <w:i w:val="1"/>
          <w:rtl w:val="0"/>
        </w:rPr>
        <w:t xml:space="preserve">Heliyon</w:t>
      </w:r>
      <w:r w:rsidDel="00000000" w:rsidR="00000000" w:rsidRPr="00000000">
        <w:rPr>
          <w:rtl w:val="0"/>
        </w:rPr>
        <w:t xml:space="preserve">, 9(6), e16418. </w:t>
      </w:r>
      <w:hyperlink r:id="rId217">
        <w:r w:rsidDel="00000000" w:rsidR="00000000" w:rsidRPr="00000000">
          <w:rPr>
            <w:color w:val="0000ff"/>
            <w:u w:val="single"/>
            <w:rtl w:val="0"/>
          </w:rPr>
          <w:t xml:space="preserve">https://doi.org/10.1016/j.heliyon.2023.e16418</w:t>
        </w:r>
      </w:hyperlink>
      <w:r w:rsidDel="00000000" w:rsidR="00000000" w:rsidRPr="00000000">
        <w:rPr>
          <w:rtl w:val="0"/>
        </w:rPr>
      </w:r>
    </w:p>
    <w:p w:rsidR="00000000" w:rsidDel="00000000" w:rsidP="00000000" w:rsidRDefault="00000000" w:rsidRPr="00000000" w14:paraId="0000181A">
      <w:pPr>
        <w:spacing w:after="280" w:before="280" w:lineRule="auto"/>
        <w:jc w:val="both"/>
        <w:rPr/>
      </w:pPr>
      <w:r w:rsidDel="00000000" w:rsidR="00000000" w:rsidRPr="00000000">
        <w:rPr>
          <w:rtl w:val="0"/>
        </w:rPr>
        <w:t xml:space="preserve">Rush, T., 2024. What are the benefits of cryotherapy? </w:t>
      </w:r>
      <w:r w:rsidDel="00000000" w:rsidR="00000000" w:rsidRPr="00000000">
        <w:rPr>
          <w:i w:val="1"/>
          <w:rtl w:val="0"/>
        </w:rPr>
        <w:t xml:space="preserve">Medical News Today</w:t>
      </w:r>
      <w:r w:rsidDel="00000000" w:rsidR="00000000" w:rsidRPr="00000000">
        <w:rPr>
          <w:rtl w:val="0"/>
        </w:rPr>
        <w:t xml:space="preserve">. [online] 28 October. Available at: </w:t>
      </w:r>
      <w:hyperlink r:id="rId218">
        <w:r w:rsidDel="00000000" w:rsidR="00000000" w:rsidRPr="00000000">
          <w:rPr>
            <w:color w:val="0000ff"/>
            <w:u w:val="single"/>
            <w:rtl w:val="0"/>
          </w:rPr>
          <w:t xml:space="preserve">https://www.medicalnewstoday.com/articles/319740</w:t>
        </w:r>
      </w:hyperlink>
      <w:r w:rsidDel="00000000" w:rsidR="00000000" w:rsidRPr="00000000">
        <w:rPr>
          <w:rtl w:val="0"/>
        </w:rPr>
        <w:t xml:space="preserve"> [Accessed 18 May 2025].</w:t>
      </w:r>
    </w:p>
    <w:p w:rsidR="00000000" w:rsidDel="00000000" w:rsidP="00000000" w:rsidRDefault="00000000" w:rsidRPr="00000000" w14:paraId="0000181B">
      <w:pPr>
        <w:spacing w:after="280" w:before="280" w:lineRule="auto"/>
        <w:jc w:val="both"/>
        <w:rPr/>
      </w:pPr>
      <w:r w:rsidDel="00000000" w:rsidR="00000000" w:rsidRPr="00000000">
        <w:rPr>
          <w:rtl w:val="0"/>
        </w:rPr>
        <w:t xml:space="preserve">Saari, U.A., Damberg, S., Frömbling, L. and Ringle, C.M., 2021. Sustainable consumption behaviour of Europeans: The influence of environmental knowledge and risk perception on environmental concern and behavioural intention. </w:t>
      </w:r>
      <w:r w:rsidDel="00000000" w:rsidR="00000000" w:rsidRPr="00000000">
        <w:rPr>
          <w:i w:val="1"/>
          <w:rtl w:val="0"/>
        </w:rPr>
        <w:t xml:space="preserve">Ecological Economics</w:t>
      </w:r>
      <w:r w:rsidDel="00000000" w:rsidR="00000000" w:rsidRPr="00000000">
        <w:rPr>
          <w:rtl w:val="0"/>
        </w:rPr>
        <w:t xml:space="preserve">, 189, 107155. </w:t>
      </w:r>
      <w:hyperlink r:id="rId219">
        <w:r w:rsidDel="00000000" w:rsidR="00000000" w:rsidRPr="00000000">
          <w:rPr>
            <w:color w:val="0000ff"/>
            <w:u w:val="single"/>
            <w:rtl w:val="0"/>
          </w:rPr>
          <w:t xml:space="preserve">https://doi.org/10.1016/j.ecolecon.2021.107155</w:t>
        </w:r>
      </w:hyperlink>
      <w:r w:rsidDel="00000000" w:rsidR="00000000" w:rsidRPr="00000000">
        <w:rPr>
          <w:rtl w:val="0"/>
        </w:rPr>
      </w:r>
    </w:p>
    <w:p w:rsidR="00000000" w:rsidDel="00000000" w:rsidP="00000000" w:rsidRDefault="00000000" w:rsidRPr="00000000" w14:paraId="0000181C">
      <w:pPr>
        <w:spacing w:after="280" w:before="280" w:lineRule="auto"/>
        <w:jc w:val="both"/>
        <w:rPr/>
      </w:pPr>
      <w:r w:rsidDel="00000000" w:rsidR="00000000" w:rsidRPr="00000000">
        <w:rPr>
          <w:rtl w:val="0"/>
        </w:rPr>
        <w:t xml:space="preserve">Sahin, I., 2006. Detailed review of Rogers' diffusion of innovations theory and educational technology-related studies based on Rogers' theory. </w:t>
      </w:r>
      <w:r w:rsidDel="00000000" w:rsidR="00000000" w:rsidRPr="00000000">
        <w:rPr>
          <w:i w:val="1"/>
          <w:rtl w:val="0"/>
        </w:rPr>
        <w:t xml:space="preserve">The Turkish Online Journal of Educational Technology</w:t>
      </w:r>
      <w:r w:rsidDel="00000000" w:rsidR="00000000" w:rsidRPr="00000000">
        <w:rPr>
          <w:rtl w:val="0"/>
        </w:rPr>
        <w:t xml:space="preserve">, 5(2), pp.14–23.</w:t>
      </w:r>
    </w:p>
    <w:p w:rsidR="00000000" w:rsidDel="00000000" w:rsidP="00000000" w:rsidRDefault="00000000" w:rsidRPr="00000000" w14:paraId="0000181D">
      <w:pPr>
        <w:spacing w:after="280" w:before="280" w:lineRule="auto"/>
        <w:jc w:val="both"/>
        <w:rPr/>
      </w:pPr>
      <w:r w:rsidDel="00000000" w:rsidR="00000000" w:rsidRPr="00000000">
        <w:rPr>
          <w:rtl w:val="0"/>
        </w:rPr>
        <w:t xml:space="preserve">Satar, M.S., Rather, R.A., Cheema, S., Parrey, S.H., Ghaderi, Z. and Cain, L., 2024. Transforming destination-based customer engagement to revisit intention through co-creation: Findings from SEM and fsQCA. </w:t>
      </w:r>
      <w:r w:rsidDel="00000000" w:rsidR="00000000" w:rsidRPr="00000000">
        <w:rPr>
          <w:i w:val="1"/>
          <w:rtl w:val="0"/>
        </w:rPr>
        <w:t xml:space="preserve">Tourism Review</w:t>
      </w:r>
      <w:r w:rsidDel="00000000" w:rsidR="00000000" w:rsidRPr="00000000">
        <w:rPr>
          <w:rtl w:val="0"/>
        </w:rPr>
        <w:t xml:space="preserve">, 79(3), pp.601–621. </w:t>
      </w:r>
      <w:hyperlink r:id="rId220">
        <w:r w:rsidDel="00000000" w:rsidR="00000000" w:rsidRPr="00000000">
          <w:rPr>
            <w:color w:val="0000ff"/>
            <w:u w:val="single"/>
            <w:rtl w:val="0"/>
          </w:rPr>
          <w:t xml:space="preserve">https://doi.org/10.1108/TR-10-2022-0489</w:t>
        </w:r>
      </w:hyperlink>
      <w:r w:rsidDel="00000000" w:rsidR="00000000" w:rsidRPr="00000000">
        <w:rPr>
          <w:rtl w:val="0"/>
        </w:rPr>
      </w:r>
    </w:p>
    <w:p w:rsidR="00000000" w:rsidDel="00000000" w:rsidP="00000000" w:rsidRDefault="00000000" w:rsidRPr="00000000" w14:paraId="0000181E">
      <w:pPr>
        <w:spacing w:after="280" w:before="280" w:lineRule="auto"/>
        <w:jc w:val="both"/>
        <w:rPr/>
      </w:pPr>
      <w:r w:rsidDel="00000000" w:rsidR="00000000" w:rsidRPr="00000000">
        <w:rPr>
          <w:rtl w:val="0"/>
        </w:rPr>
        <w:t xml:space="preserve">Schlieter, H., Marsch, L.A., Whitehouse, D., Otto, L., Londral, A.R., Teepe, G.W., Benedict, M., Ollier, J., Ulmer, T., Gasser, N., Ultsch, S., Wollschlaeger, B. and Kowatsch, T., 2022. Scale-up of digital innovations in health care: Expert commentary on enablers and barriers. </w:t>
      </w:r>
      <w:r w:rsidDel="00000000" w:rsidR="00000000" w:rsidRPr="00000000">
        <w:rPr>
          <w:i w:val="1"/>
          <w:rtl w:val="0"/>
        </w:rPr>
        <w:t xml:space="preserve">Journal of Medical Internet Research</w:t>
      </w:r>
      <w:r w:rsidDel="00000000" w:rsidR="00000000" w:rsidRPr="00000000">
        <w:rPr>
          <w:rtl w:val="0"/>
        </w:rPr>
        <w:t xml:space="preserve">, 24(3), e24582. </w:t>
      </w:r>
      <w:hyperlink r:id="rId221">
        <w:r w:rsidDel="00000000" w:rsidR="00000000" w:rsidRPr="00000000">
          <w:rPr>
            <w:color w:val="0000ff"/>
            <w:u w:val="single"/>
            <w:rtl w:val="0"/>
          </w:rPr>
          <w:t xml:space="preserve">https://doi.org/10.2196/24582</w:t>
        </w:r>
      </w:hyperlink>
      <w:r w:rsidDel="00000000" w:rsidR="00000000" w:rsidRPr="00000000">
        <w:rPr>
          <w:rtl w:val="0"/>
        </w:rPr>
      </w:r>
    </w:p>
    <w:p w:rsidR="00000000" w:rsidDel="00000000" w:rsidP="00000000" w:rsidRDefault="00000000" w:rsidRPr="00000000" w14:paraId="0000181F">
      <w:pPr>
        <w:spacing w:after="280" w:before="280" w:lineRule="auto"/>
        <w:jc w:val="both"/>
        <w:rPr/>
      </w:pPr>
      <w:r w:rsidDel="00000000" w:rsidR="00000000" w:rsidRPr="00000000">
        <w:rPr>
          <w:rtl w:val="0"/>
        </w:rPr>
        <w:t xml:space="preserve">Selkow, N.M., Herman, D.C., Liu, Z., Hertel, J., Hart, J.M. and Saliba, S.A., 2015. Blood flow after exercise-induced muscle damage. </w:t>
      </w:r>
      <w:r w:rsidDel="00000000" w:rsidR="00000000" w:rsidRPr="00000000">
        <w:rPr>
          <w:i w:val="1"/>
          <w:rtl w:val="0"/>
        </w:rPr>
        <w:t xml:space="preserve">Journal of Athletic Training</w:t>
      </w:r>
      <w:r w:rsidDel="00000000" w:rsidR="00000000" w:rsidRPr="00000000">
        <w:rPr>
          <w:rtl w:val="0"/>
        </w:rPr>
        <w:t xml:space="preserve">, 50(4), pp.400–406. </w:t>
      </w:r>
      <w:hyperlink r:id="rId222">
        <w:r w:rsidDel="00000000" w:rsidR="00000000" w:rsidRPr="00000000">
          <w:rPr>
            <w:color w:val="0000ff"/>
            <w:u w:val="single"/>
            <w:rtl w:val="0"/>
          </w:rPr>
          <w:t xml:space="preserve">https://doi.org/10.4085/1062-6050-49.6.01</w:t>
        </w:r>
      </w:hyperlink>
      <w:r w:rsidDel="00000000" w:rsidR="00000000" w:rsidRPr="00000000">
        <w:rPr>
          <w:rtl w:val="0"/>
        </w:rPr>
      </w:r>
    </w:p>
    <w:p w:rsidR="00000000" w:rsidDel="00000000" w:rsidP="00000000" w:rsidRDefault="00000000" w:rsidRPr="00000000" w14:paraId="00001820">
      <w:pPr>
        <w:spacing w:after="280" w:before="280" w:lineRule="auto"/>
        <w:jc w:val="both"/>
        <w:rPr/>
      </w:pPr>
      <w:r w:rsidDel="00000000" w:rsidR="00000000" w:rsidRPr="00000000">
        <w:rPr>
          <w:rtl w:val="0"/>
        </w:rPr>
        <w:t xml:space="preserve">Serrage, H., Heiskanen, V., Palin, W.M., Cooper, P.R., Milward, M.R., Hadis, M. and Hamblin, M.R., 2019. Under the spotlight: Mechanisms of photobiomodulation concentrating on blue and green light. </w:t>
      </w:r>
      <w:r w:rsidDel="00000000" w:rsidR="00000000" w:rsidRPr="00000000">
        <w:rPr>
          <w:i w:val="1"/>
          <w:rtl w:val="0"/>
        </w:rPr>
        <w:t xml:space="preserve">Photochemical &amp; Photobiological Sciences</w:t>
      </w:r>
      <w:r w:rsidDel="00000000" w:rsidR="00000000" w:rsidRPr="00000000">
        <w:rPr>
          <w:rtl w:val="0"/>
        </w:rPr>
        <w:t xml:space="preserve">, 18(8), pp.1877–1909. </w:t>
      </w:r>
      <w:hyperlink r:id="rId223">
        <w:r w:rsidDel="00000000" w:rsidR="00000000" w:rsidRPr="00000000">
          <w:rPr>
            <w:color w:val="0000ff"/>
            <w:u w:val="single"/>
            <w:rtl w:val="0"/>
          </w:rPr>
          <w:t xml:space="preserve">https://doi.org/10.1039/c9pp00089e</w:t>
        </w:r>
      </w:hyperlink>
      <w:r w:rsidDel="00000000" w:rsidR="00000000" w:rsidRPr="00000000">
        <w:rPr>
          <w:rtl w:val="0"/>
        </w:rPr>
      </w:r>
    </w:p>
    <w:p w:rsidR="00000000" w:rsidDel="00000000" w:rsidP="00000000" w:rsidRDefault="00000000" w:rsidRPr="00000000" w14:paraId="00001821">
      <w:pPr>
        <w:spacing w:after="280" w:before="280" w:lineRule="auto"/>
        <w:jc w:val="both"/>
        <w:rPr/>
      </w:pPr>
      <w:r w:rsidDel="00000000" w:rsidR="00000000" w:rsidRPr="00000000">
        <w:rPr>
          <w:rtl w:val="0"/>
        </w:rPr>
        <w:t xml:space="preserve">Setchfield, K., Gorman, A., Simpson, A.H.R.W., Somekh, M.G. and Wright, A.J., 2024. Effect of skin color on optical properties and the implications for medical optical technologies: A review. </w:t>
      </w:r>
      <w:r w:rsidDel="00000000" w:rsidR="00000000" w:rsidRPr="00000000">
        <w:rPr>
          <w:i w:val="1"/>
          <w:rtl w:val="0"/>
        </w:rPr>
        <w:t xml:space="preserve">Journal of Biomedical Optics</w:t>
      </w:r>
      <w:r w:rsidDel="00000000" w:rsidR="00000000" w:rsidRPr="00000000">
        <w:rPr>
          <w:rtl w:val="0"/>
        </w:rPr>
        <w:t xml:space="preserve">, 29(1), 010901. </w:t>
      </w:r>
      <w:hyperlink r:id="rId224">
        <w:r w:rsidDel="00000000" w:rsidR="00000000" w:rsidRPr="00000000">
          <w:rPr>
            <w:color w:val="0000ff"/>
            <w:u w:val="single"/>
            <w:rtl w:val="0"/>
          </w:rPr>
          <w:t xml:space="preserve">https://doi.org/10.1117/1.JBO.29.1.010901</w:t>
        </w:r>
      </w:hyperlink>
      <w:r w:rsidDel="00000000" w:rsidR="00000000" w:rsidRPr="00000000">
        <w:rPr>
          <w:rtl w:val="0"/>
        </w:rPr>
      </w:r>
    </w:p>
    <w:p w:rsidR="00000000" w:rsidDel="00000000" w:rsidP="00000000" w:rsidRDefault="00000000" w:rsidRPr="00000000" w14:paraId="00001822">
      <w:pPr>
        <w:spacing w:after="280" w:before="280" w:lineRule="auto"/>
        <w:jc w:val="both"/>
        <w:rPr/>
      </w:pPr>
      <w:r w:rsidDel="00000000" w:rsidR="00000000" w:rsidRPr="00000000">
        <w:rPr>
          <w:rtl w:val="0"/>
        </w:rPr>
        <w:t xml:space="preserve">Seyfi, S., Rasoolimanesh, S.M., Vafaei-Zadeh, A. and Esfandiar, K., 2021. Can tourist engagement enhance tourist behavioural intentions? A combination of PLS-SEM and fsQCA approaches. </w:t>
      </w:r>
      <w:r w:rsidDel="00000000" w:rsidR="00000000" w:rsidRPr="00000000">
        <w:rPr>
          <w:i w:val="1"/>
          <w:rtl w:val="0"/>
        </w:rPr>
        <w:t xml:space="preserve">Tourism Recreation Research</w:t>
      </w:r>
      <w:r w:rsidDel="00000000" w:rsidR="00000000" w:rsidRPr="00000000">
        <w:rPr>
          <w:rtl w:val="0"/>
        </w:rPr>
        <w:t xml:space="preserve">, pp.1–12. </w:t>
      </w:r>
      <w:hyperlink r:id="rId225">
        <w:r w:rsidDel="00000000" w:rsidR="00000000" w:rsidRPr="00000000">
          <w:rPr>
            <w:color w:val="0000ff"/>
            <w:u w:val="single"/>
            <w:rtl w:val="0"/>
          </w:rPr>
          <w:t xml:space="preserve">https://doi.org/10.1080/02508281.2021.1986653</w:t>
        </w:r>
      </w:hyperlink>
      <w:r w:rsidDel="00000000" w:rsidR="00000000" w:rsidRPr="00000000">
        <w:rPr>
          <w:rtl w:val="0"/>
        </w:rPr>
      </w:r>
    </w:p>
    <w:p w:rsidR="00000000" w:rsidDel="00000000" w:rsidP="00000000" w:rsidRDefault="00000000" w:rsidRPr="00000000" w14:paraId="00001823">
      <w:pPr>
        <w:spacing w:after="280" w:before="280" w:lineRule="auto"/>
        <w:jc w:val="both"/>
        <w:rPr/>
      </w:pPr>
      <w:r w:rsidDel="00000000" w:rsidR="00000000" w:rsidRPr="00000000">
        <w:rPr>
          <w:rtl w:val="0"/>
        </w:rPr>
        <w:t xml:space="preserve">Shajari, S., Kuruvinashetti, K., Komeili, A. and Sundararaj, U., 2023. The emergence of AI-based wearable sensors for digital health technology: A review. </w:t>
      </w:r>
      <w:r w:rsidDel="00000000" w:rsidR="00000000" w:rsidRPr="00000000">
        <w:rPr>
          <w:i w:val="1"/>
          <w:rtl w:val="0"/>
        </w:rPr>
        <w:t xml:space="preserve">Sensors (Basel, Switzerland)</w:t>
      </w:r>
      <w:r w:rsidDel="00000000" w:rsidR="00000000" w:rsidRPr="00000000">
        <w:rPr>
          <w:rtl w:val="0"/>
        </w:rPr>
        <w:t xml:space="preserve">, 23(23), 9498. </w:t>
      </w:r>
      <w:hyperlink r:id="rId226">
        <w:r w:rsidDel="00000000" w:rsidR="00000000" w:rsidRPr="00000000">
          <w:rPr>
            <w:color w:val="0000ff"/>
            <w:u w:val="single"/>
            <w:rtl w:val="0"/>
          </w:rPr>
          <w:t xml:space="preserve">https://doi.org/10.3390/s23239498</w:t>
        </w:r>
      </w:hyperlink>
      <w:r w:rsidDel="00000000" w:rsidR="00000000" w:rsidRPr="00000000">
        <w:rPr>
          <w:rtl w:val="0"/>
        </w:rPr>
      </w:r>
    </w:p>
    <w:p w:rsidR="00000000" w:rsidDel="00000000" w:rsidP="00000000" w:rsidRDefault="00000000" w:rsidRPr="00000000" w14:paraId="00001824">
      <w:pPr>
        <w:spacing w:after="280" w:before="280" w:lineRule="auto"/>
        <w:jc w:val="both"/>
        <w:rPr/>
      </w:pPr>
      <w:r w:rsidDel="00000000" w:rsidR="00000000" w:rsidRPr="00000000">
        <w:rPr>
          <w:rtl w:val="0"/>
        </w:rPr>
        <w:t xml:space="preserve">Shania, F. and Paramarta, V., 2024. Analysis of Technology Acceptance Model (TAM) on the use of electronic medical records in hospitals. </w:t>
      </w:r>
      <w:r w:rsidDel="00000000" w:rsidR="00000000" w:rsidRPr="00000000">
        <w:rPr>
          <w:i w:val="1"/>
          <w:rtl w:val="0"/>
        </w:rPr>
        <w:t xml:space="preserve">Jurnal Indonesia Sosial Sains</w:t>
      </w:r>
      <w:r w:rsidDel="00000000" w:rsidR="00000000" w:rsidRPr="00000000">
        <w:rPr>
          <w:rtl w:val="0"/>
        </w:rPr>
        <w:t xml:space="preserve">, 5, pp.3190–3196. </w:t>
      </w:r>
      <w:hyperlink r:id="rId227">
        <w:r w:rsidDel="00000000" w:rsidR="00000000" w:rsidRPr="00000000">
          <w:rPr>
            <w:color w:val="0000ff"/>
            <w:u w:val="single"/>
            <w:rtl w:val="0"/>
          </w:rPr>
          <w:t xml:space="preserve">https://doi.org/10.59141/jiss.v5i12.1520</w:t>
        </w:r>
      </w:hyperlink>
      <w:r w:rsidDel="00000000" w:rsidR="00000000" w:rsidRPr="00000000">
        <w:rPr>
          <w:rtl w:val="0"/>
        </w:rPr>
      </w:r>
    </w:p>
    <w:p w:rsidR="00000000" w:rsidDel="00000000" w:rsidP="00000000" w:rsidRDefault="00000000" w:rsidRPr="00000000" w14:paraId="00001825">
      <w:pPr>
        <w:spacing w:after="280" w:before="280" w:lineRule="auto"/>
        <w:jc w:val="both"/>
        <w:rPr/>
      </w:pPr>
      <w:r w:rsidDel="00000000" w:rsidR="00000000" w:rsidRPr="00000000">
        <w:rPr>
          <w:rtl w:val="0"/>
        </w:rPr>
        <w:t xml:space="preserve">Shei, R.J., Holder, I.G., Oumsang, A.S., Paris, B.A. and Paris, H.L., 2022. Wearable activity trackers—Advanced technology or advanced marketing? </w:t>
      </w:r>
      <w:r w:rsidDel="00000000" w:rsidR="00000000" w:rsidRPr="00000000">
        <w:rPr>
          <w:i w:val="1"/>
          <w:rtl w:val="0"/>
        </w:rPr>
        <w:t xml:space="preserve">European Journal of Applied Physiology</w:t>
      </w:r>
      <w:r w:rsidDel="00000000" w:rsidR="00000000" w:rsidRPr="00000000">
        <w:rPr>
          <w:rtl w:val="0"/>
        </w:rPr>
        <w:t xml:space="preserve">, 122(9), pp.1975–1990. </w:t>
      </w:r>
      <w:hyperlink r:id="rId228">
        <w:r w:rsidDel="00000000" w:rsidR="00000000" w:rsidRPr="00000000">
          <w:rPr>
            <w:color w:val="0000ff"/>
            <w:u w:val="single"/>
            <w:rtl w:val="0"/>
          </w:rPr>
          <w:t xml:space="preserve">https://doi.org/10.1007/s00421-022-04951-1</w:t>
        </w:r>
      </w:hyperlink>
      <w:r w:rsidDel="00000000" w:rsidR="00000000" w:rsidRPr="00000000">
        <w:rPr>
          <w:rtl w:val="0"/>
        </w:rPr>
      </w:r>
    </w:p>
    <w:p w:rsidR="00000000" w:rsidDel="00000000" w:rsidP="00000000" w:rsidRDefault="00000000" w:rsidRPr="00000000" w14:paraId="00001826">
      <w:pPr>
        <w:spacing w:after="280" w:before="280" w:lineRule="auto"/>
        <w:jc w:val="both"/>
        <w:rPr/>
      </w:pPr>
      <w:r w:rsidDel="00000000" w:rsidR="00000000" w:rsidRPr="00000000">
        <w:rPr>
          <w:rtl w:val="0"/>
        </w:rPr>
        <w:t xml:space="preserve">Shi, L., Huang, X., Abbas, S., Yang, Z. and Huang, L., 2022. Relationships between perceived usefulness and fitness wearable technology user adoption mediated by culture, gender, and COVID-19: A meta-analysis. </w:t>
      </w:r>
      <w:r w:rsidDel="00000000" w:rsidR="00000000" w:rsidRPr="00000000">
        <w:rPr>
          <w:i w:val="1"/>
          <w:rtl w:val="0"/>
        </w:rPr>
        <w:t xml:space="preserve">Quality in Sport</w:t>
      </w:r>
      <w:r w:rsidDel="00000000" w:rsidR="00000000" w:rsidRPr="00000000">
        <w:rPr>
          <w:rtl w:val="0"/>
        </w:rPr>
        <w:t xml:space="preserve">, 8(1), pp.55–69. </w:t>
      </w:r>
      <w:hyperlink r:id="rId229">
        <w:r w:rsidDel="00000000" w:rsidR="00000000" w:rsidRPr="00000000">
          <w:rPr>
            <w:color w:val="0000ff"/>
            <w:u w:val="single"/>
            <w:rtl w:val="0"/>
          </w:rPr>
          <w:t xml:space="preserve">https://doi.org/10.12775/QS.2022.08.01.005</w:t>
        </w:r>
      </w:hyperlink>
      <w:r w:rsidDel="00000000" w:rsidR="00000000" w:rsidRPr="00000000">
        <w:rPr>
          <w:rtl w:val="0"/>
        </w:rPr>
      </w:r>
    </w:p>
    <w:p w:rsidR="00000000" w:rsidDel="00000000" w:rsidP="00000000" w:rsidRDefault="00000000" w:rsidRPr="00000000" w14:paraId="00001827">
      <w:pPr>
        <w:spacing w:after="280" w:before="280" w:lineRule="auto"/>
        <w:jc w:val="both"/>
        <w:rPr/>
      </w:pPr>
      <w:r w:rsidDel="00000000" w:rsidR="00000000" w:rsidRPr="00000000">
        <w:rPr>
          <w:rtl w:val="0"/>
        </w:rPr>
        <w:t xml:space="preserve">Shmueli, G., Ray, S., Velasquez Estrada, J.M. and Chatla, S.B., 2016. The elephant in the room: Evaluating the predictive performance of PLS models. </w:t>
      </w:r>
      <w:r w:rsidDel="00000000" w:rsidR="00000000" w:rsidRPr="00000000">
        <w:rPr>
          <w:i w:val="1"/>
          <w:rtl w:val="0"/>
        </w:rPr>
        <w:t xml:space="preserve">Journal of Business Research</w:t>
      </w:r>
      <w:r w:rsidDel="00000000" w:rsidR="00000000" w:rsidRPr="00000000">
        <w:rPr>
          <w:rtl w:val="0"/>
        </w:rPr>
        <w:t xml:space="preserve">, 69(10), pp.4552–4564. </w:t>
      </w:r>
      <w:hyperlink r:id="rId230">
        <w:r w:rsidDel="00000000" w:rsidR="00000000" w:rsidRPr="00000000">
          <w:rPr>
            <w:color w:val="0000ff"/>
            <w:u w:val="single"/>
            <w:rtl w:val="0"/>
          </w:rPr>
          <w:t xml:space="preserve">https://doi.org/10.1016/j.jbusres.2016.03.049</w:t>
        </w:r>
      </w:hyperlink>
      <w:r w:rsidDel="00000000" w:rsidR="00000000" w:rsidRPr="00000000">
        <w:rPr>
          <w:rtl w:val="0"/>
        </w:rPr>
      </w:r>
    </w:p>
    <w:p w:rsidR="00000000" w:rsidDel="00000000" w:rsidP="00000000" w:rsidRDefault="00000000" w:rsidRPr="00000000" w14:paraId="00001828">
      <w:pPr>
        <w:spacing w:after="280" w:before="280" w:lineRule="auto"/>
        <w:jc w:val="both"/>
        <w:rPr/>
      </w:pPr>
      <w:r w:rsidDel="00000000" w:rsidR="00000000" w:rsidRPr="00000000">
        <w:rPr>
          <w:rtl w:val="0"/>
        </w:rPr>
        <w:t xml:space="preserve">Sifaoui, A. and Eastin, M.S., 2024. “Whispers from the wrist”: Wearable health monitoring devices and privacy regulations in the U.S.: The loopholes, the challenges, and the opportunities. </w:t>
      </w:r>
      <w:r w:rsidDel="00000000" w:rsidR="00000000" w:rsidRPr="00000000">
        <w:rPr>
          <w:i w:val="1"/>
          <w:rtl w:val="0"/>
        </w:rPr>
        <w:t xml:space="preserve">Cryptography</w:t>
      </w:r>
      <w:r w:rsidDel="00000000" w:rsidR="00000000" w:rsidRPr="00000000">
        <w:rPr>
          <w:rtl w:val="0"/>
        </w:rPr>
        <w:t xml:space="preserve">, 8(2), 26. </w:t>
      </w:r>
      <w:hyperlink r:id="rId231">
        <w:r w:rsidDel="00000000" w:rsidR="00000000" w:rsidRPr="00000000">
          <w:rPr>
            <w:color w:val="0000ff"/>
            <w:u w:val="single"/>
            <w:rtl w:val="0"/>
          </w:rPr>
          <w:t xml:space="preserve">https://doi.org/10.3390/cryptography8020026</w:t>
        </w:r>
      </w:hyperlink>
      <w:r w:rsidDel="00000000" w:rsidR="00000000" w:rsidRPr="00000000">
        <w:rPr>
          <w:rtl w:val="0"/>
        </w:rPr>
      </w:r>
    </w:p>
    <w:p w:rsidR="00000000" w:rsidDel="00000000" w:rsidP="00000000" w:rsidRDefault="00000000" w:rsidRPr="00000000" w14:paraId="00001829">
      <w:pPr>
        <w:spacing w:after="280" w:before="280" w:lineRule="auto"/>
        <w:jc w:val="both"/>
        <w:rPr/>
      </w:pPr>
      <w:r w:rsidDel="00000000" w:rsidR="00000000" w:rsidRPr="00000000">
        <w:rPr>
          <w:rtl w:val="0"/>
        </w:rPr>
        <w:t xml:space="preserve">Slovic, P., 2015. Understanding perceived risk: 1978–2015. </w:t>
      </w:r>
      <w:r w:rsidDel="00000000" w:rsidR="00000000" w:rsidRPr="00000000">
        <w:rPr>
          <w:i w:val="1"/>
          <w:rtl w:val="0"/>
        </w:rPr>
        <w:t xml:space="preserve">Environment: Science and Policy for Sustainable Development</w:t>
      </w:r>
      <w:r w:rsidDel="00000000" w:rsidR="00000000" w:rsidRPr="00000000">
        <w:rPr>
          <w:rtl w:val="0"/>
        </w:rPr>
        <w:t xml:space="preserve">, 58(1), pp.25–29. </w:t>
      </w:r>
      <w:hyperlink r:id="rId232">
        <w:r w:rsidDel="00000000" w:rsidR="00000000" w:rsidRPr="00000000">
          <w:rPr>
            <w:color w:val="0000ff"/>
            <w:u w:val="single"/>
            <w:rtl w:val="0"/>
          </w:rPr>
          <w:t xml:space="preserve">https://doi.org/10.1080/00139157.2016.1112169</w:t>
        </w:r>
      </w:hyperlink>
      <w:r w:rsidDel="00000000" w:rsidR="00000000" w:rsidRPr="00000000">
        <w:rPr>
          <w:rtl w:val="0"/>
        </w:rPr>
      </w:r>
    </w:p>
    <w:p w:rsidR="00000000" w:rsidDel="00000000" w:rsidP="00000000" w:rsidRDefault="00000000" w:rsidRPr="00000000" w14:paraId="0000182A">
      <w:pPr>
        <w:spacing w:after="280" w:before="280" w:lineRule="auto"/>
        <w:jc w:val="both"/>
        <w:rPr/>
      </w:pPr>
      <w:r w:rsidDel="00000000" w:rsidR="00000000" w:rsidRPr="00000000">
        <w:rPr>
          <w:rtl w:val="0"/>
        </w:rPr>
        <w:t xml:space="preserve">St. Louis, D., 2024. Digital health adoption is surging, but so is consumer distrust. </w:t>
      </w:r>
      <w:r w:rsidDel="00000000" w:rsidR="00000000" w:rsidRPr="00000000">
        <w:rPr>
          <w:i w:val="1"/>
          <w:rtl w:val="0"/>
        </w:rPr>
        <w:t xml:space="preserve">Future Healthcare Today</w:t>
      </w:r>
      <w:r w:rsidDel="00000000" w:rsidR="00000000" w:rsidRPr="00000000">
        <w:rPr>
          <w:rtl w:val="0"/>
        </w:rPr>
        <w:t xml:space="preserve">. [online] 30 November. Available at: </w:t>
      </w:r>
      <w:hyperlink r:id="rId233">
        <w:r w:rsidDel="00000000" w:rsidR="00000000" w:rsidRPr="00000000">
          <w:rPr>
            <w:color w:val="0000ff"/>
            <w:u w:val="single"/>
            <w:rtl w:val="0"/>
          </w:rPr>
          <w:t xml:space="preserve">https://futurehealthcaretoday.com/digital-health-adoption-is-surging-but-so-is-consumer-distrust/</w:t>
        </w:r>
      </w:hyperlink>
      <w:r w:rsidDel="00000000" w:rsidR="00000000" w:rsidRPr="00000000">
        <w:rPr>
          <w:rtl w:val="0"/>
        </w:rPr>
        <w:t xml:space="preserve"> [Accessed 18 May 2025].</w:t>
      </w:r>
    </w:p>
    <w:p w:rsidR="00000000" w:rsidDel="00000000" w:rsidP="00000000" w:rsidRDefault="00000000" w:rsidRPr="00000000" w14:paraId="0000182B">
      <w:pPr>
        <w:spacing w:after="280" w:before="280" w:lineRule="auto"/>
        <w:jc w:val="both"/>
        <w:rPr/>
      </w:pPr>
      <w:r w:rsidDel="00000000" w:rsidR="00000000" w:rsidRPr="00000000">
        <w:rPr>
          <w:rtl w:val="0"/>
        </w:rPr>
        <w:t xml:space="preserve">Steiger, J.H., 1979. Factor indeterminacy in the 1930s and the 1970s: Some interesting parallels. </w:t>
      </w:r>
      <w:r w:rsidDel="00000000" w:rsidR="00000000" w:rsidRPr="00000000">
        <w:rPr>
          <w:i w:val="1"/>
          <w:rtl w:val="0"/>
        </w:rPr>
        <w:t xml:space="preserve">Psychometrika</w:t>
      </w:r>
      <w:r w:rsidDel="00000000" w:rsidR="00000000" w:rsidRPr="00000000">
        <w:rPr>
          <w:rtl w:val="0"/>
        </w:rPr>
        <w:t xml:space="preserve">, 44(2), pp.157–167. </w:t>
      </w:r>
      <w:hyperlink r:id="rId234">
        <w:r w:rsidDel="00000000" w:rsidR="00000000" w:rsidRPr="00000000">
          <w:rPr>
            <w:color w:val="0000ff"/>
            <w:u w:val="single"/>
            <w:rtl w:val="0"/>
          </w:rPr>
          <w:t xml:space="preserve">https://doi.org/10.1007/BF02293958</w:t>
        </w:r>
      </w:hyperlink>
      <w:r w:rsidDel="00000000" w:rsidR="00000000" w:rsidRPr="00000000">
        <w:rPr>
          <w:rtl w:val="0"/>
        </w:rPr>
      </w:r>
    </w:p>
    <w:p w:rsidR="00000000" w:rsidDel="00000000" w:rsidP="00000000" w:rsidRDefault="00000000" w:rsidRPr="00000000" w14:paraId="0000182C">
      <w:pPr>
        <w:spacing w:after="280" w:before="280" w:lineRule="auto"/>
        <w:jc w:val="both"/>
        <w:rPr/>
      </w:pPr>
      <w:r w:rsidDel="00000000" w:rsidR="00000000" w:rsidRPr="00000000">
        <w:rPr>
          <w:rtl w:val="0"/>
        </w:rPr>
        <w:t xml:space="preserve">Subramanian, H., 2022. Decentralized marketplace for patient-generated health data: A design science approach (Preprint). </w:t>
      </w:r>
      <w:r w:rsidDel="00000000" w:rsidR="00000000" w:rsidRPr="00000000">
        <w:rPr>
          <w:i w:val="1"/>
          <w:rtl w:val="0"/>
        </w:rPr>
        <w:t xml:space="preserve">Journal of Medical Internet Research</w:t>
      </w:r>
      <w:r w:rsidDel="00000000" w:rsidR="00000000" w:rsidRPr="00000000">
        <w:rPr>
          <w:rtl w:val="0"/>
        </w:rPr>
        <w:t xml:space="preserve">, 25. </w:t>
      </w:r>
      <w:hyperlink r:id="rId235">
        <w:r w:rsidDel="00000000" w:rsidR="00000000" w:rsidRPr="00000000">
          <w:rPr>
            <w:color w:val="0000ff"/>
            <w:u w:val="single"/>
            <w:rtl w:val="0"/>
          </w:rPr>
          <w:t xml:space="preserve">https://doi.org/10.2196/42743</w:t>
        </w:r>
      </w:hyperlink>
      <w:r w:rsidDel="00000000" w:rsidR="00000000" w:rsidRPr="00000000">
        <w:rPr>
          <w:rtl w:val="0"/>
        </w:rPr>
      </w:r>
    </w:p>
    <w:p w:rsidR="00000000" w:rsidDel="00000000" w:rsidP="00000000" w:rsidRDefault="00000000" w:rsidRPr="00000000" w14:paraId="0000182D">
      <w:pPr>
        <w:spacing w:after="280" w:before="280" w:lineRule="auto"/>
        <w:jc w:val="both"/>
        <w:rPr/>
      </w:pPr>
      <w:r w:rsidDel="00000000" w:rsidR="00000000" w:rsidRPr="00000000">
        <w:rPr>
          <w:rtl w:val="0"/>
        </w:rPr>
        <w:t xml:space="preserve">Sun, H. and Zhang, P., 2006. The role of moderating factors in user technology acceptance. </w:t>
      </w:r>
      <w:r w:rsidDel="00000000" w:rsidR="00000000" w:rsidRPr="00000000">
        <w:rPr>
          <w:i w:val="1"/>
          <w:rtl w:val="0"/>
        </w:rPr>
        <w:t xml:space="preserve">International Journal of Human-Computer Studies</w:t>
      </w:r>
      <w:r w:rsidDel="00000000" w:rsidR="00000000" w:rsidRPr="00000000">
        <w:rPr>
          <w:rtl w:val="0"/>
        </w:rPr>
        <w:t xml:space="preserve">, 64(2), pp.53–78. </w:t>
      </w:r>
      <w:hyperlink r:id="rId236">
        <w:r w:rsidDel="00000000" w:rsidR="00000000" w:rsidRPr="00000000">
          <w:rPr>
            <w:color w:val="0000ff"/>
            <w:u w:val="single"/>
            <w:rtl w:val="0"/>
          </w:rPr>
          <w:t xml:space="preserve">https://doi.org/10.1016/j.ijhcs.2005.04.013</w:t>
        </w:r>
      </w:hyperlink>
      <w:r w:rsidDel="00000000" w:rsidR="00000000" w:rsidRPr="00000000">
        <w:rPr>
          <w:rtl w:val="0"/>
        </w:rPr>
      </w:r>
    </w:p>
    <w:p w:rsidR="00000000" w:rsidDel="00000000" w:rsidP="00000000" w:rsidRDefault="00000000" w:rsidRPr="00000000" w14:paraId="0000182E">
      <w:pPr>
        <w:spacing w:after="280" w:before="280" w:lineRule="auto"/>
        <w:jc w:val="both"/>
        <w:rPr/>
      </w:pPr>
      <w:r w:rsidDel="00000000" w:rsidR="00000000" w:rsidRPr="00000000">
        <w:rPr>
          <w:rtl w:val="0"/>
        </w:rPr>
        <w:t xml:space="preserve">Surendran, P., 2012. Technology acceptance model: A survey of literature. </w:t>
      </w:r>
      <w:r w:rsidDel="00000000" w:rsidR="00000000" w:rsidRPr="00000000">
        <w:rPr>
          <w:i w:val="1"/>
          <w:rtl w:val="0"/>
        </w:rPr>
        <w:t xml:space="preserve">International Journal of Business and Social Research</w:t>
      </w:r>
      <w:r w:rsidDel="00000000" w:rsidR="00000000" w:rsidRPr="00000000">
        <w:rPr>
          <w:rtl w:val="0"/>
        </w:rPr>
        <w:t xml:space="preserve">, 2(4), pp.175–178. </w:t>
      </w:r>
      <w:hyperlink r:id="rId237">
        <w:r w:rsidDel="00000000" w:rsidR="00000000" w:rsidRPr="00000000">
          <w:rPr>
            <w:color w:val="0000ff"/>
            <w:u w:val="single"/>
            <w:rtl w:val="0"/>
          </w:rPr>
          <w:t xml:space="preserve">https://doi.org/10.18533/ijbsr.v2i4.161</w:t>
        </w:r>
      </w:hyperlink>
      <w:r w:rsidDel="00000000" w:rsidR="00000000" w:rsidRPr="00000000">
        <w:rPr>
          <w:rtl w:val="0"/>
        </w:rPr>
      </w:r>
    </w:p>
    <w:p w:rsidR="00000000" w:rsidDel="00000000" w:rsidP="00000000" w:rsidRDefault="00000000" w:rsidRPr="00000000" w14:paraId="0000182F">
      <w:pPr>
        <w:spacing w:after="280" w:before="280" w:lineRule="auto"/>
        <w:jc w:val="both"/>
        <w:rPr/>
      </w:pPr>
      <w:r w:rsidDel="00000000" w:rsidR="00000000" w:rsidRPr="00000000">
        <w:rPr>
          <w:rtl w:val="0"/>
        </w:rPr>
        <w:t xml:space="preserve">Swain, S., Muduli, K., Kumar, A. and Luthra, S., 2024. Analysis of barriers of mHealth adoption in the context of sustainable operational practices in health care supply chains. </w:t>
      </w:r>
      <w:r w:rsidDel="00000000" w:rsidR="00000000" w:rsidRPr="00000000">
        <w:rPr>
          <w:i w:val="1"/>
          <w:rtl w:val="0"/>
        </w:rPr>
        <w:t xml:space="preserve">International Journal of Industrial Engineering and Operations Management</w:t>
      </w:r>
      <w:r w:rsidDel="00000000" w:rsidR="00000000" w:rsidRPr="00000000">
        <w:rPr>
          <w:rtl w:val="0"/>
        </w:rPr>
        <w:t xml:space="preserve">, 6(2), pp.85–116. </w:t>
      </w:r>
      <w:hyperlink r:id="rId238">
        <w:r w:rsidDel="00000000" w:rsidR="00000000" w:rsidRPr="00000000">
          <w:rPr>
            <w:color w:val="0000ff"/>
            <w:u w:val="single"/>
            <w:rtl w:val="0"/>
          </w:rPr>
          <w:t xml:space="preserve">https://doi.org/10.1108/IJIEOM-12-2022-0067</w:t>
        </w:r>
      </w:hyperlink>
      <w:r w:rsidDel="00000000" w:rsidR="00000000" w:rsidRPr="00000000">
        <w:rPr>
          <w:rtl w:val="0"/>
        </w:rPr>
      </w:r>
    </w:p>
    <w:p w:rsidR="00000000" w:rsidDel="00000000" w:rsidP="00000000" w:rsidRDefault="00000000" w:rsidRPr="00000000" w14:paraId="00001830">
      <w:pPr>
        <w:spacing w:after="280" w:before="280" w:lineRule="auto"/>
        <w:jc w:val="both"/>
        <w:rPr/>
      </w:pPr>
      <w:r w:rsidDel="00000000" w:rsidR="00000000" w:rsidRPr="00000000">
        <w:rPr>
          <w:rtl w:val="0"/>
        </w:rPr>
        <w:t xml:space="preserve">Syed, R., Eden, R., Makasi, T., Chukwudi, I., Mamudu, A., Kamalpour, M., Kapugama Geeganage, D., Sadeghianasl, S., Leemans, S.J.J., Goel, K., Andrews, R., Wynn, M.T., ter Hofstede, A. and Myers, T., 2024. Digital health data quality issues: Systematic review. </w:t>
      </w:r>
      <w:r w:rsidDel="00000000" w:rsidR="00000000" w:rsidRPr="00000000">
        <w:rPr>
          <w:i w:val="1"/>
          <w:rtl w:val="0"/>
        </w:rPr>
        <w:t xml:space="preserve">Journal of Medical Internet Research</w:t>
      </w:r>
      <w:r w:rsidDel="00000000" w:rsidR="00000000" w:rsidRPr="00000000">
        <w:rPr>
          <w:rtl w:val="0"/>
        </w:rPr>
        <w:t xml:space="preserve">, 26, e42615. </w:t>
      </w:r>
      <w:hyperlink r:id="rId239">
        <w:r w:rsidDel="00000000" w:rsidR="00000000" w:rsidRPr="00000000">
          <w:rPr>
            <w:color w:val="0000ff"/>
            <w:u w:val="single"/>
            <w:rtl w:val="0"/>
          </w:rPr>
          <w:t xml:space="preserve">https://doi.org/10.2196/42615</w:t>
        </w:r>
      </w:hyperlink>
      <w:r w:rsidDel="00000000" w:rsidR="00000000" w:rsidRPr="00000000">
        <w:rPr>
          <w:rtl w:val="0"/>
        </w:rPr>
      </w:r>
    </w:p>
    <w:p w:rsidR="00000000" w:rsidDel="00000000" w:rsidP="00000000" w:rsidRDefault="00000000" w:rsidRPr="00000000" w14:paraId="00001831">
      <w:pPr>
        <w:spacing w:after="280" w:before="280" w:lineRule="auto"/>
        <w:jc w:val="both"/>
        <w:rPr/>
      </w:pPr>
      <w:r w:rsidDel="00000000" w:rsidR="00000000" w:rsidRPr="00000000">
        <w:rPr>
          <w:rtl w:val="0"/>
        </w:rPr>
        <w:t xml:space="preserve">Tabish, S.A., 2008. Complementary and alternative healthcare: Is it evidence-based? </w:t>
      </w:r>
      <w:r w:rsidDel="00000000" w:rsidR="00000000" w:rsidRPr="00000000">
        <w:rPr>
          <w:i w:val="1"/>
          <w:rtl w:val="0"/>
        </w:rPr>
        <w:t xml:space="preserve">International Journal of Health Sciences</w:t>
      </w:r>
      <w:r w:rsidDel="00000000" w:rsidR="00000000" w:rsidRPr="00000000">
        <w:rPr>
          <w:rtl w:val="0"/>
        </w:rPr>
        <w:t xml:space="preserve">, 2(1), pp.v–ix.</w:t>
      </w:r>
    </w:p>
    <w:p w:rsidR="00000000" w:rsidDel="00000000" w:rsidP="00000000" w:rsidRDefault="00000000" w:rsidRPr="00000000" w14:paraId="00001832">
      <w:pPr>
        <w:spacing w:after="280" w:before="280" w:lineRule="auto"/>
        <w:jc w:val="both"/>
        <w:rPr/>
      </w:pPr>
      <w:r w:rsidDel="00000000" w:rsidR="00000000" w:rsidRPr="00000000">
        <w:rPr>
          <w:rtl w:val="0"/>
        </w:rPr>
        <w:t xml:space="preserve">Taiwo, A. and Downe, A., 2013. The theory of user acceptance and use of technology (UTAUT): A meta-analytic review of empirical findings. </w:t>
      </w:r>
      <w:r w:rsidDel="00000000" w:rsidR="00000000" w:rsidRPr="00000000">
        <w:rPr>
          <w:i w:val="1"/>
          <w:rtl w:val="0"/>
        </w:rPr>
        <w:t xml:space="preserve">Journal of Theoretical and Applied Information Technology</w:t>
      </w:r>
      <w:r w:rsidDel="00000000" w:rsidR="00000000" w:rsidRPr="00000000">
        <w:rPr>
          <w:rtl w:val="0"/>
        </w:rPr>
        <w:t xml:space="preserve">, 49(1), pp.48–58.</w:t>
      </w:r>
    </w:p>
    <w:p w:rsidR="00000000" w:rsidDel="00000000" w:rsidP="00000000" w:rsidRDefault="00000000" w:rsidRPr="00000000" w14:paraId="00001833">
      <w:pPr>
        <w:spacing w:after="280" w:before="280" w:lineRule="auto"/>
        <w:jc w:val="both"/>
        <w:rPr/>
      </w:pPr>
      <w:r w:rsidDel="00000000" w:rsidR="00000000" w:rsidRPr="00000000">
        <w:rPr>
          <w:rtl w:val="0"/>
        </w:rPr>
        <w:t xml:space="preserve">Theory Hub, n.d. </w:t>
      </w:r>
      <w:r w:rsidDel="00000000" w:rsidR="00000000" w:rsidRPr="00000000">
        <w:rPr>
          <w:i w:val="1"/>
          <w:rtl w:val="0"/>
        </w:rPr>
        <w:t xml:space="preserve">Theory of Reasoned Action - TheoryHub - Academic theories reviews for research and T&amp;L</w:t>
      </w:r>
      <w:r w:rsidDel="00000000" w:rsidR="00000000" w:rsidRPr="00000000">
        <w:rPr>
          <w:rtl w:val="0"/>
        </w:rPr>
        <w:t xml:space="preserve">. [online] Available at: </w:t>
      </w:r>
      <w:hyperlink r:id="rId240">
        <w:r w:rsidDel="00000000" w:rsidR="00000000" w:rsidRPr="00000000">
          <w:rPr>
            <w:color w:val="0000ff"/>
            <w:u w:val="single"/>
            <w:rtl w:val="0"/>
          </w:rPr>
          <w:t xml:space="preserve">https://open.ncl.ac.uk/academic-theories/18/theory-of-reasoned-action/</w:t>
        </w:r>
      </w:hyperlink>
      <w:r w:rsidDel="00000000" w:rsidR="00000000" w:rsidRPr="00000000">
        <w:rPr>
          <w:rtl w:val="0"/>
        </w:rPr>
        <w:t xml:space="preserve"> [Accessed 18 May 2025].</w:t>
      </w:r>
    </w:p>
    <w:p w:rsidR="00000000" w:rsidDel="00000000" w:rsidP="00000000" w:rsidRDefault="00000000" w:rsidRPr="00000000" w14:paraId="00001834">
      <w:pPr>
        <w:spacing w:after="280" w:before="280" w:lineRule="auto"/>
        <w:jc w:val="both"/>
        <w:rPr/>
      </w:pPr>
      <w:r w:rsidDel="00000000" w:rsidR="00000000" w:rsidRPr="00000000">
        <w:rPr>
          <w:rtl w:val="0"/>
        </w:rPr>
        <w:t xml:space="preserve">Tsai, S.R. and Hamblin, M.R., 2017. Biological effects and medical applications of infrared radiation. </w:t>
      </w:r>
      <w:r w:rsidDel="00000000" w:rsidR="00000000" w:rsidRPr="00000000">
        <w:rPr>
          <w:i w:val="1"/>
          <w:rtl w:val="0"/>
        </w:rPr>
        <w:t xml:space="preserve">Journal of Photochemistry and Photobiology B: Biology</w:t>
      </w:r>
      <w:r w:rsidDel="00000000" w:rsidR="00000000" w:rsidRPr="00000000">
        <w:rPr>
          <w:rtl w:val="0"/>
        </w:rPr>
        <w:t xml:space="preserve">, 170, pp.197–207. </w:t>
      </w:r>
      <w:hyperlink r:id="rId241">
        <w:r w:rsidDel="00000000" w:rsidR="00000000" w:rsidRPr="00000000">
          <w:rPr>
            <w:color w:val="0000ff"/>
            <w:u w:val="single"/>
            <w:rtl w:val="0"/>
          </w:rPr>
          <w:t xml:space="preserve">https://doi.org/10.1016/j.jphotobiol.2017.04.014</w:t>
        </w:r>
      </w:hyperlink>
      <w:r w:rsidDel="00000000" w:rsidR="00000000" w:rsidRPr="00000000">
        <w:rPr>
          <w:rtl w:val="0"/>
        </w:rPr>
      </w:r>
    </w:p>
    <w:p w:rsidR="00000000" w:rsidDel="00000000" w:rsidP="00000000" w:rsidRDefault="00000000" w:rsidRPr="00000000" w14:paraId="00001835">
      <w:pPr>
        <w:spacing w:after="280" w:before="280" w:lineRule="auto"/>
        <w:jc w:val="both"/>
        <w:rPr/>
      </w:pPr>
      <w:r w:rsidDel="00000000" w:rsidR="00000000" w:rsidRPr="00000000">
        <w:rPr>
          <w:rtl w:val="0"/>
        </w:rPr>
        <w:t xml:space="preserve">Turner, M., Kitchenham, B., Brereton, P., Charters, S. and Budgen, D., 2010. Does the technology acceptance model predict actual use? A systematic literature review. </w:t>
      </w:r>
      <w:r w:rsidDel="00000000" w:rsidR="00000000" w:rsidRPr="00000000">
        <w:rPr>
          <w:i w:val="1"/>
          <w:rtl w:val="0"/>
        </w:rPr>
        <w:t xml:space="preserve">Information and Software Technology</w:t>
      </w:r>
      <w:r w:rsidDel="00000000" w:rsidR="00000000" w:rsidRPr="00000000">
        <w:rPr>
          <w:rtl w:val="0"/>
        </w:rPr>
        <w:t xml:space="preserve">, 52(5), pp.463–479. </w:t>
      </w:r>
      <w:hyperlink r:id="rId242">
        <w:r w:rsidDel="00000000" w:rsidR="00000000" w:rsidRPr="00000000">
          <w:rPr>
            <w:color w:val="0000ff"/>
            <w:u w:val="single"/>
            <w:rtl w:val="0"/>
          </w:rPr>
          <w:t xml:space="preserve">https://doi.org/10.1016/j.infsof.2009.11.005</w:t>
        </w:r>
      </w:hyperlink>
      <w:r w:rsidDel="00000000" w:rsidR="00000000" w:rsidRPr="00000000">
        <w:rPr>
          <w:rtl w:val="0"/>
        </w:rPr>
      </w:r>
    </w:p>
    <w:p w:rsidR="00000000" w:rsidDel="00000000" w:rsidP="00000000" w:rsidRDefault="00000000" w:rsidRPr="00000000" w14:paraId="00001836">
      <w:pPr>
        <w:spacing w:after="280" w:before="280" w:lineRule="auto"/>
        <w:jc w:val="both"/>
        <w:rPr/>
      </w:pPr>
      <w:r w:rsidDel="00000000" w:rsidR="00000000" w:rsidRPr="00000000">
        <w:rPr>
          <w:rtl w:val="0"/>
        </w:rPr>
        <w:t xml:space="preserve">U.S. Food and Drug Administration, 2023. Device approvals and clearances. </w:t>
      </w:r>
      <w:r w:rsidDel="00000000" w:rsidR="00000000" w:rsidRPr="00000000">
        <w:rPr>
          <w:i w:val="1"/>
          <w:rtl w:val="0"/>
        </w:rPr>
        <w:t xml:space="preserve">U.S. Food and Drug Administration</w:t>
      </w:r>
      <w:r w:rsidDel="00000000" w:rsidR="00000000" w:rsidRPr="00000000">
        <w:rPr>
          <w:rtl w:val="0"/>
        </w:rPr>
        <w:t xml:space="preserve">. [online] 6 November. Available at: </w:t>
      </w:r>
      <w:hyperlink r:id="rId243">
        <w:r w:rsidDel="00000000" w:rsidR="00000000" w:rsidRPr="00000000">
          <w:rPr>
            <w:color w:val="0000ff"/>
            <w:u w:val="single"/>
            <w:rtl w:val="0"/>
          </w:rPr>
          <w:t xml:space="preserve">https://www.fda.gov/medical-devices/products-and-medical-procedures/device-approvals-and-clearances</w:t>
        </w:r>
      </w:hyperlink>
      <w:r w:rsidDel="00000000" w:rsidR="00000000" w:rsidRPr="00000000">
        <w:rPr>
          <w:rtl w:val="0"/>
        </w:rPr>
        <w:t xml:space="preserve"> [Accessed 18 May 2025].</w:t>
      </w:r>
    </w:p>
    <w:p w:rsidR="00000000" w:rsidDel="00000000" w:rsidP="00000000" w:rsidRDefault="00000000" w:rsidRPr="00000000" w14:paraId="00001837">
      <w:pPr>
        <w:spacing w:after="280" w:before="280" w:lineRule="auto"/>
        <w:jc w:val="both"/>
        <w:rPr/>
      </w:pPr>
      <w:r w:rsidDel="00000000" w:rsidR="00000000" w:rsidRPr="00000000">
        <w:rPr>
          <w:rtl w:val="0"/>
        </w:rPr>
        <w:t xml:space="preserve">UIAA, 2023. A guide on when and how to use portable hyperbaric chambers. </w:t>
      </w:r>
      <w:r w:rsidDel="00000000" w:rsidR="00000000" w:rsidRPr="00000000">
        <w:rPr>
          <w:i w:val="1"/>
          <w:rtl w:val="0"/>
        </w:rPr>
        <w:t xml:space="preserve">UIAA - International Climbing and Mountaineering Federation (UIAA)</w:t>
      </w:r>
      <w:r w:rsidDel="00000000" w:rsidR="00000000" w:rsidRPr="00000000">
        <w:rPr>
          <w:rtl w:val="0"/>
        </w:rPr>
        <w:t xml:space="preserve">. [online] 6 October. Available at: </w:t>
      </w:r>
      <w:hyperlink r:id="rId244">
        <w:r w:rsidDel="00000000" w:rsidR="00000000" w:rsidRPr="00000000">
          <w:rPr>
            <w:color w:val="0000ff"/>
            <w:u w:val="single"/>
            <w:rtl w:val="0"/>
          </w:rPr>
          <w:t xml:space="preserve">https://www.theuiaa.org/a-guide-on-when-and-how-to-use-portable-hyperbaric-chambers/</w:t>
        </w:r>
      </w:hyperlink>
      <w:r w:rsidDel="00000000" w:rsidR="00000000" w:rsidRPr="00000000">
        <w:rPr>
          <w:rtl w:val="0"/>
        </w:rPr>
        <w:t xml:space="preserve"> [Accessed 18 May 2025].</w:t>
      </w:r>
    </w:p>
    <w:p w:rsidR="00000000" w:rsidDel="00000000" w:rsidP="00000000" w:rsidRDefault="00000000" w:rsidRPr="00000000" w14:paraId="00001838">
      <w:pPr>
        <w:spacing w:after="280" w:before="280" w:lineRule="auto"/>
        <w:jc w:val="both"/>
        <w:rPr/>
      </w:pPr>
      <w:r w:rsidDel="00000000" w:rsidR="00000000" w:rsidRPr="00000000">
        <w:rPr>
          <w:rtl w:val="0"/>
        </w:rPr>
        <w:t xml:space="preserve">Valter, K., Tedford, S.E., Eells, J.T. and Tedford, C.E., 2024. Photobiomodulation use in ophthalmology: An overview of translational research from bench to bedside. </w:t>
      </w:r>
      <w:r w:rsidDel="00000000" w:rsidR="00000000" w:rsidRPr="00000000">
        <w:rPr>
          <w:i w:val="1"/>
          <w:rtl w:val="0"/>
        </w:rPr>
        <w:t xml:space="preserve">Frontiers in Ophthalmology</w:t>
      </w:r>
      <w:r w:rsidDel="00000000" w:rsidR="00000000" w:rsidRPr="00000000">
        <w:rPr>
          <w:rtl w:val="0"/>
        </w:rPr>
        <w:t xml:space="preserve">, 4, 1388602. </w:t>
      </w:r>
      <w:hyperlink r:id="rId245">
        <w:r w:rsidDel="00000000" w:rsidR="00000000" w:rsidRPr="00000000">
          <w:rPr>
            <w:color w:val="0000ff"/>
            <w:u w:val="single"/>
            <w:rtl w:val="0"/>
          </w:rPr>
          <w:t xml:space="preserve">https://doi.org/10.3389/fopht.2024.1388602</w:t>
        </w:r>
      </w:hyperlink>
      <w:r w:rsidDel="00000000" w:rsidR="00000000" w:rsidRPr="00000000">
        <w:rPr>
          <w:rtl w:val="0"/>
        </w:rPr>
      </w:r>
    </w:p>
    <w:p w:rsidR="00000000" w:rsidDel="00000000" w:rsidP="00000000" w:rsidRDefault="00000000" w:rsidRPr="00000000" w14:paraId="00001839">
      <w:pPr>
        <w:spacing w:after="280" w:before="280" w:lineRule="auto"/>
        <w:jc w:val="both"/>
        <w:rPr/>
      </w:pPr>
      <w:r w:rsidDel="00000000" w:rsidR="00000000" w:rsidRPr="00000000">
        <w:rPr>
          <w:rtl w:val="0"/>
        </w:rPr>
        <w:t xml:space="preserve">Vandecasteele, B. and Geuens, M., 2010. Motivated consumer innovativeness: Concept, measurement, and validation. </w:t>
      </w:r>
      <w:r w:rsidDel="00000000" w:rsidR="00000000" w:rsidRPr="00000000">
        <w:rPr>
          <w:i w:val="1"/>
          <w:rtl w:val="0"/>
        </w:rPr>
        <w:t xml:space="preserve">International Journal of Research in Marketing</w:t>
      </w:r>
      <w:r w:rsidDel="00000000" w:rsidR="00000000" w:rsidRPr="00000000">
        <w:rPr>
          <w:rtl w:val="0"/>
        </w:rPr>
        <w:t xml:space="preserve">, 27(4), pp.308–318. </w:t>
      </w:r>
      <w:hyperlink r:id="rId246">
        <w:r w:rsidDel="00000000" w:rsidR="00000000" w:rsidRPr="00000000">
          <w:rPr>
            <w:color w:val="0000ff"/>
            <w:u w:val="single"/>
            <w:rtl w:val="0"/>
          </w:rPr>
          <w:t xml:space="preserve">https://doi.org/10.1016/j.ijresmar.2010.08.004</w:t>
        </w:r>
      </w:hyperlink>
      <w:r w:rsidDel="00000000" w:rsidR="00000000" w:rsidRPr="00000000">
        <w:rPr>
          <w:rtl w:val="0"/>
        </w:rPr>
      </w:r>
    </w:p>
    <w:p w:rsidR="00000000" w:rsidDel="00000000" w:rsidP="00000000" w:rsidRDefault="00000000" w:rsidRPr="00000000" w14:paraId="0000183A">
      <w:pPr>
        <w:spacing w:after="280" w:before="280" w:lineRule="auto"/>
        <w:jc w:val="both"/>
        <w:rPr/>
      </w:pPr>
      <w:r w:rsidDel="00000000" w:rsidR="00000000" w:rsidRPr="00000000">
        <w:rPr>
          <w:rtl w:val="0"/>
        </w:rPr>
        <w:t xml:space="preserve">Venkatesh, V., Morris, M.G., Davis, G.B. and Davis, F.D., 2003. User acceptance of information technology: Toward a unified view. </w:t>
      </w:r>
      <w:r w:rsidDel="00000000" w:rsidR="00000000" w:rsidRPr="00000000">
        <w:rPr>
          <w:i w:val="1"/>
          <w:rtl w:val="0"/>
        </w:rPr>
        <w:t xml:space="preserve">MIS Quarterly</w:t>
      </w:r>
      <w:r w:rsidDel="00000000" w:rsidR="00000000" w:rsidRPr="00000000">
        <w:rPr>
          <w:rtl w:val="0"/>
        </w:rPr>
        <w:t xml:space="preserve">, 27(3), pp.425–478. </w:t>
      </w:r>
      <w:hyperlink r:id="rId247">
        <w:r w:rsidDel="00000000" w:rsidR="00000000" w:rsidRPr="00000000">
          <w:rPr>
            <w:color w:val="0000ff"/>
            <w:u w:val="single"/>
            <w:rtl w:val="0"/>
          </w:rPr>
          <w:t xml:space="preserve">https://doi.org/10.2307/30036540</w:t>
        </w:r>
      </w:hyperlink>
      <w:r w:rsidDel="00000000" w:rsidR="00000000" w:rsidRPr="00000000">
        <w:rPr>
          <w:rtl w:val="0"/>
        </w:rPr>
      </w:r>
    </w:p>
    <w:p w:rsidR="00000000" w:rsidDel="00000000" w:rsidP="00000000" w:rsidRDefault="00000000" w:rsidRPr="00000000" w14:paraId="0000183B">
      <w:pPr>
        <w:spacing w:after="280" w:before="280" w:lineRule="auto"/>
        <w:jc w:val="both"/>
        <w:rPr/>
      </w:pPr>
      <w:r w:rsidDel="00000000" w:rsidR="00000000" w:rsidRPr="00000000">
        <w:rPr>
          <w:rtl w:val="0"/>
        </w:rPr>
        <w:t xml:space="preserve">Virani, S.S., 2024. Blockchain end user adoption and societal challenges: Exploring privacy, rights, and security dimensions. </w:t>
      </w:r>
      <w:r w:rsidDel="00000000" w:rsidR="00000000" w:rsidRPr="00000000">
        <w:rPr>
          <w:i w:val="1"/>
          <w:rtl w:val="0"/>
        </w:rPr>
        <w:t xml:space="preserve">IET Blockchain</w:t>
      </w:r>
      <w:r w:rsidDel="00000000" w:rsidR="00000000" w:rsidRPr="00000000">
        <w:rPr>
          <w:rtl w:val="0"/>
        </w:rPr>
        <w:t xml:space="preserve">, 4(Suppl. 1), pp.691–705. </w:t>
      </w:r>
      <w:hyperlink r:id="rId248">
        <w:r w:rsidDel="00000000" w:rsidR="00000000" w:rsidRPr="00000000">
          <w:rPr>
            <w:color w:val="0000ff"/>
            <w:u w:val="single"/>
            <w:rtl w:val="0"/>
          </w:rPr>
          <w:t xml:space="preserve">https://doi.org/10.1049/blc2.12077</w:t>
        </w:r>
      </w:hyperlink>
      <w:r w:rsidDel="00000000" w:rsidR="00000000" w:rsidRPr="00000000">
        <w:rPr>
          <w:rtl w:val="0"/>
        </w:rPr>
      </w:r>
    </w:p>
    <w:p w:rsidR="00000000" w:rsidDel="00000000" w:rsidP="00000000" w:rsidRDefault="00000000" w:rsidRPr="00000000" w14:paraId="0000183C">
      <w:pPr>
        <w:spacing w:after="280" w:before="280" w:lineRule="auto"/>
        <w:jc w:val="both"/>
        <w:rPr/>
      </w:pPr>
      <w:r w:rsidDel="00000000" w:rsidR="00000000" w:rsidRPr="00000000">
        <w:rPr>
          <w:rtl w:val="0"/>
        </w:rPr>
        <w:t xml:space="preserve">Vo, D.-K. and Trinh, K.T.L., 2024. Advances in wearable biosensors for healthcare: Current trends, applications, and future perspectives. </w:t>
      </w:r>
      <w:r w:rsidDel="00000000" w:rsidR="00000000" w:rsidRPr="00000000">
        <w:rPr>
          <w:i w:val="1"/>
          <w:rtl w:val="0"/>
        </w:rPr>
        <w:t xml:space="preserve">Biosensors</w:t>
      </w:r>
      <w:r w:rsidDel="00000000" w:rsidR="00000000" w:rsidRPr="00000000">
        <w:rPr>
          <w:rtl w:val="0"/>
        </w:rPr>
        <w:t xml:space="preserve">, 14(11), 560. </w:t>
      </w:r>
      <w:hyperlink r:id="rId249">
        <w:r w:rsidDel="00000000" w:rsidR="00000000" w:rsidRPr="00000000">
          <w:rPr>
            <w:color w:val="0000ff"/>
            <w:u w:val="single"/>
            <w:rtl w:val="0"/>
          </w:rPr>
          <w:t xml:space="preserve">https://doi.org/10.3390/bios14110560</w:t>
        </w:r>
      </w:hyperlink>
      <w:r w:rsidDel="00000000" w:rsidR="00000000" w:rsidRPr="00000000">
        <w:rPr>
          <w:rtl w:val="0"/>
        </w:rPr>
      </w:r>
    </w:p>
    <w:p w:rsidR="00000000" w:rsidDel="00000000" w:rsidP="00000000" w:rsidRDefault="00000000" w:rsidRPr="00000000" w14:paraId="0000183D">
      <w:pPr>
        <w:spacing w:after="280" w:before="280" w:lineRule="auto"/>
        <w:jc w:val="both"/>
        <w:rPr/>
      </w:pPr>
      <w:r w:rsidDel="00000000" w:rsidR="00000000" w:rsidRPr="00000000">
        <w:rPr>
          <w:rtl w:val="0"/>
        </w:rPr>
        <w:t xml:space="preserve">Vredenburg, J., Kapitan, S., Spry, A. and Kemper, J.A., 2020. Brands taking a stand: Authentic brand activism or woke washing? </w:t>
      </w:r>
      <w:r w:rsidDel="00000000" w:rsidR="00000000" w:rsidRPr="00000000">
        <w:rPr>
          <w:i w:val="1"/>
          <w:rtl w:val="0"/>
        </w:rPr>
        <w:t xml:space="preserve">Journal of Public Policy &amp; Marketing</w:t>
      </w:r>
      <w:r w:rsidDel="00000000" w:rsidR="00000000" w:rsidRPr="00000000">
        <w:rPr>
          <w:rtl w:val="0"/>
        </w:rPr>
        <w:t xml:space="preserve">, 39(4), pp.444–460. </w:t>
      </w:r>
      <w:hyperlink r:id="rId250">
        <w:r w:rsidDel="00000000" w:rsidR="00000000" w:rsidRPr="00000000">
          <w:rPr>
            <w:color w:val="0000ff"/>
            <w:u w:val="single"/>
            <w:rtl w:val="0"/>
          </w:rPr>
          <w:t xml:space="preserve">https://doi.org/10.1177/0743915620947359</w:t>
        </w:r>
      </w:hyperlink>
      <w:r w:rsidDel="00000000" w:rsidR="00000000" w:rsidRPr="00000000">
        <w:rPr>
          <w:rtl w:val="0"/>
        </w:rPr>
      </w:r>
    </w:p>
    <w:p w:rsidR="00000000" w:rsidDel="00000000" w:rsidP="00000000" w:rsidRDefault="00000000" w:rsidRPr="00000000" w14:paraId="0000183E">
      <w:pPr>
        <w:spacing w:after="280" w:before="280" w:lineRule="auto"/>
        <w:jc w:val="both"/>
        <w:rPr/>
      </w:pPr>
      <w:r w:rsidDel="00000000" w:rsidR="00000000" w:rsidRPr="00000000">
        <w:rPr>
          <w:rtl w:val="0"/>
        </w:rPr>
        <w:t xml:space="preserve">Wang, C., Ahmad, S.F., Ayassrah, A.Y.A.B.A., Awwad, E.M., Irshad, M., Ali, Y.A., Al-Razgan, M., Khan, Y. and Han, H., 2023. An empirical evaluation of technology acceptance model for artificial intelligence in e-commerce. </w:t>
      </w:r>
      <w:r w:rsidDel="00000000" w:rsidR="00000000" w:rsidRPr="00000000">
        <w:rPr>
          <w:i w:val="1"/>
          <w:rtl w:val="0"/>
        </w:rPr>
        <w:t xml:space="preserve">Heliyon</w:t>
      </w:r>
      <w:r w:rsidDel="00000000" w:rsidR="00000000" w:rsidRPr="00000000">
        <w:rPr>
          <w:rtl w:val="0"/>
        </w:rPr>
        <w:t xml:space="preserve">, 9(8), e18349. </w:t>
      </w:r>
      <w:hyperlink r:id="rId251">
        <w:r w:rsidDel="00000000" w:rsidR="00000000" w:rsidRPr="00000000">
          <w:rPr>
            <w:color w:val="0000ff"/>
            <w:u w:val="single"/>
            <w:rtl w:val="0"/>
          </w:rPr>
          <w:t xml:space="preserve">https://doi.org/10.1016/j.heliyon.2023.e18349</w:t>
        </w:r>
      </w:hyperlink>
      <w:r w:rsidDel="00000000" w:rsidR="00000000" w:rsidRPr="00000000">
        <w:rPr>
          <w:rtl w:val="0"/>
        </w:rPr>
      </w:r>
    </w:p>
    <w:p w:rsidR="00000000" w:rsidDel="00000000" w:rsidP="00000000" w:rsidRDefault="00000000" w:rsidRPr="00000000" w14:paraId="0000183F">
      <w:pPr>
        <w:spacing w:after="280" w:before="280" w:lineRule="auto"/>
        <w:jc w:val="both"/>
        <w:rPr/>
      </w:pPr>
      <w:r w:rsidDel="00000000" w:rsidR="00000000" w:rsidRPr="00000000">
        <w:rPr>
          <w:rtl w:val="0"/>
        </w:rPr>
        <w:t xml:space="preserve">Wang, L., Li, X., Wang, D. and Zhu, J., 2024. Influence of social media fitness influencers' credibility on users' physical activity intentions. </w:t>
      </w:r>
      <w:r w:rsidDel="00000000" w:rsidR="00000000" w:rsidRPr="00000000">
        <w:rPr>
          <w:i w:val="1"/>
          <w:rtl w:val="0"/>
        </w:rPr>
        <w:t xml:space="preserve">Digital Health</w:t>
      </w:r>
      <w:r w:rsidDel="00000000" w:rsidR="00000000" w:rsidRPr="00000000">
        <w:rPr>
          <w:rtl w:val="0"/>
        </w:rPr>
        <w:t xml:space="preserve">, 10, 20552076241302016. </w:t>
      </w:r>
      <w:hyperlink r:id="rId252">
        <w:r w:rsidDel="00000000" w:rsidR="00000000" w:rsidRPr="00000000">
          <w:rPr>
            <w:color w:val="0000ff"/>
            <w:u w:val="single"/>
            <w:rtl w:val="0"/>
          </w:rPr>
          <w:t xml:space="preserve">https://doi.org/10.1177/20552076241302016</w:t>
        </w:r>
      </w:hyperlink>
      <w:r w:rsidDel="00000000" w:rsidR="00000000" w:rsidRPr="00000000">
        <w:rPr>
          <w:rtl w:val="0"/>
        </w:rPr>
      </w:r>
    </w:p>
    <w:p w:rsidR="00000000" w:rsidDel="00000000" w:rsidP="00000000" w:rsidRDefault="00000000" w:rsidRPr="00000000" w14:paraId="00001840">
      <w:pPr>
        <w:spacing w:after="280" w:before="280" w:lineRule="auto"/>
        <w:jc w:val="both"/>
        <w:rPr/>
      </w:pPr>
      <w:r w:rsidDel="00000000" w:rsidR="00000000" w:rsidRPr="00000000">
        <w:rPr>
          <w:rtl w:val="0"/>
        </w:rPr>
        <w:t xml:space="preserve">Wang, S. and Nah, K., 2024. Exploring sustainable learning intentions of employees using online learning modules of office apps based on user experience factors: Using the adapted UTAUT model. </w:t>
      </w:r>
      <w:r w:rsidDel="00000000" w:rsidR="00000000" w:rsidRPr="00000000">
        <w:rPr>
          <w:i w:val="1"/>
          <w:rtl w:val="0"/>
        </w:rPr>
        <w:t xml:space="preserve">Applied Sciences</w:t>
      </w:r>
      <w:r w:rsidDel="00000000" w:rsidR="00000000" w:rsidRPr="00000000">
        <w:rPr>
          <w:rtl w:val="0"/>
        </w:rPr>
        <w:t xml:space="preserve">, 14(11), 4746. </w:t>
      </w:r>
      <w:hyperlink r:id="rId253">
        <w:r w:rsidDel="00000000" w:rsidR="00000000" w:rsidRPr="00000000">
          <w:rPr>
            <w:color w:val="0000ff"/>
            <w:u w:val="single"/>
            <w:rtl w:val="0"/>
          </w:rPr>
          <w:t xml:space="preserve">https://doi.org/10.3390/app14114746</w:t>
        </w:r>
      </w:hyperlink>
      <w:r w:rsidDel="00000000" w:rsidR="00000000" w:rsidRPr="00000000">
        <w:rPr>
          <w:rtl w:val="0"/>
        </w:rPr>
      </w:r>
    </w:p>
    <w:p w:rsidR="00000000" w:rsidDel="00000000" w:rsidP="00000000" w:rsidRDefault="00000000" w:rsidRPr="00000000" w14:paraId="00001841">
      <w:pPr>
        <w:spacing w:after="280" w:before="280" w:lineRule="auto"/>
        <w:jc w:val="both"/>
        <w:rPr/>
      </w:pPr>
      <w:r w:rsidDel="00000000" w:rsidR="00000000" w:rsidRPr="00000000">
        <w:rPr>
          <w:rtl w:val="0"/>
        </w:rPr>
        <w:t xml:space="preserve">Wanner, J., Herm, L.V., Heinrich, K. and Others, 2022. The effect of transparency and trust on intelligent system acceptance: Evidence from a user-based study. </w:t>
      </w:r>
      <w:r w:rsidDel="00000000" w:rsidR="00000000" w:rsidRPr="00000000">
        <w:rPr>
          <w:i w:val="1"/>
          <w:rtl w:val="0"/>
        </w:rPr>
        <w:t xml:space="preserve">Electronic Markets</w:t>
      </w:r>
      <w:r w:rsidDel="00000000" w:rsidR="00000000" w:rsidRPr="00000000">
        <w:rPr>
          <w:rtl w:val="0"/>
        </w:rPr>
        <w:t xml:space="preserve">, 32, pp.2079–2102. </w:t>
      </w:r>
      <w:hyperlink r:id="rId254">
        <w:r w:rsidDel="00000000" w:rsidR="00000000" w:rsidRPr="00000000">
          <w:rPr>
            <w:color w:val="0000ff"/>
            <w:u w:val="single"/>
            <w:rtl w:val="0"/>
          </w:rPr>
          <w:t xml:space="preserve">https://doi.org/10.1007/s12525-022-00593-5</w:t>
        </w:r>
      </w:hyperlink>
      <w:r w:rsidDel="00000000" w:rsidR="00000000" w:rsidRPr="00000000">
        <w:rPr>
          <w:rtl w:val="0"/>
        </w:rPr>
      </w:r>
    </w:p>
    <w:p w:rsidR="00000000" w:rsidDel="00000000" w:rsidP="00000000" w:rsidRDefault="00000000" w:rsidRPr="00000000" w14:paraId="00001842">
      <w:pPr>
        <w:spacing w:after="280" w:before="280" w:lineRule="auto"/>
        <w:jc w:val="both"/>
        <w:rPr/>
      </w:pPr>
      <w:r w:rsidDel="00000000" w:rsidR="00000000" w:rsidRPr="00000000">
        <w:rPr>
          <w:rtl w:val="0"/>
        </w:rPr>
        <w:t xml:space="preserve">Weaver, C.M., Dwyer, J., Fulgoni, V.L., King, J.C., Leveille, G.A., MacDonald, R.S., Ordovas, J. and Schnakenberg, D., 2014. Processed foods: Contributions to nutrition. </w:t>
      </w:r>
      <w:r w:rsidDel="00000000" w:rsidR="00000000" w:rsidRPr="00000000">
        <w:rPr>
          <w:i w:val="1"/>
          <w:rtl w:val="0"/>
        </w:rPr>
        <w:t xml:space="preserve">The American Journal of Clinical Nutrition</w:t>
      </w:r>
      <w:r w:rsidDel="00000000" w:rsidR="00000000" w:rsidRPr="00000000">
        <w:rPr>
          <w:rtl w:val="0"/>
        </w:rPr>
        <w:t xml:space="preserve">, 99(6), pp.1525–1542. </w:t>
      </w:r>
      <w:hyperlink r:id="rId255">
        <w:r w:rsidDel="00000000" w:rsidR="00000000" w:rsidRPr="00000000">
          <w:rPr>
            <w:color w:val="0000ff"/>
            <w:u w:val="single"/>
            <w:rtl w:val="0"/>
          </w:rPr>
          <w:t xml:space="preserve">https://doi.org/10.3945/ajcn.114.089284</w:t>
        </w:r>
      </w:hyperlink>
      <w:r w:rsidDel="00000000" w:rsidR="00000000" w:rsidRPr="00000000">
        <w:rPr>
          <w:rtl w:val="0"/>
        </w:rPr>
      </w:r>
    </w:p>
    <w:p w:rsidR="00000000" w:rsidDel="00000000" w:rsidP="00000000" w:rsidRDefault="00000000" w:rsidRPr="00000000" w14:paraId="00001843">
      <w:pPr>
        <w:spacing w:after="280" w:before="280" w:lineRule="auto"/>
        <w:jc w:val="both"/>
        <w:rPr/>
      </w:pPr>
      <w:r w:rsidDel="00000000" w:rsidR="00000000" w:rsidRPr="00000000">
        <w:rPr>
          <w:rtl w:val="0"/>
        </w:rPr>
        <w:t xml:space="preserve">Weick-Brady, M.D. and Lazerow, R.N., 2006. Medical devices: Promoting a safe migration into the home. </w:t>
      </w:r>
      <w:r w:rsidDel="00000000" w:rsidR="00000000" w:rsidRPr="00000000">
        <w:rPr>
          <w:i w:val="1"/>
          <w:rtl w:val="0"/>
        </w:rPr>
        <w:t xml:space="preserve">Home Healthcare Nurse</w:t>
      </w:r>
      <w:r w:rsidDel="00000000" w:rsidR="00000000" w:rsidRPr="00000000">
        <w:rPr>
          <w:rtl w:val="0"/>
        </w:rPr>
        <w:t xml:space="preserve">, 24(5), pp.298–304. </w:t>
      </w:r>
      <w:hyperlink r:id="rId256">
        <w:r w:rsidDel="00000000" w:rsidR="00000000" w:rsidRPr="00000000">
          <w:rPr>
            <w:color w:val="0000ff"/>
            <w:u w:val="single"/>
            <w:rtl w:val="0"/>
          </w:rPr>
          <w:t xml:space="preserve">https://doi.org/10.1097/00004045-200605000-00006</w:t>
        </w:r>
      </w:hyperlink>
      <w:r w:rsidDel="00000000" w:rsidR="00000000" w:rsidRPr="00000000">
        <w:rPr>
          <w:rtl w:val="0"/>
        </w:rPr>
      </w:r>
    </w:p>
    <w:p w:rsidR="00000000" w:rsidDel="00000000" w:rsidP="00000000" w:rsidRDefault="00000000" w:rsidRPr="00000000" w14:paraId="00001844">
      <w:pPr>
        <w:spacing w:after="280" w:before="280" w:lineRule="auto"/>
        <w:jc w:val="both"/>
        <w:rPr/>
      </w:pPr>
      <w:r w:rsidDel="00000000" w:rsidR="00000000" w:rsidRPr="00000000">
        <w:rPr>
          <w:rtl w:val="0"/>
        </w:rPr>
        <w:t xml:space="preserve">Wetsman, N., 2020. Why Apple needed the FDA to sign off on its EKG but not its blood oxygen monitor. </w:t>
      </w:r>
      <w:r w:rsidDel="00000000" w:rsidR="00000000" w:rsidRPr="00000000">
        <w:rPr>
          <w:i w:val="1"/>
          <w:rtl w:val="0"/>
        </w:rPr>
        <w:t xml:space="preserve">The Verge</w:t>
      </w:r>
      <w:r w:rsidDel="00000000" w:rsidR="00000000" w:rsidRPr="00000000">
        <w:rPr>
          <w:rtl w:val="0"/>
        </w:rPr>
        <w:t xml:space="preserve">. [online] 7 October. Available at: </w:t>
      </w:r>
      <w:hyperlink r:id="rId257">
        <w:r w:rsidDel="00000000" w:rsidR="00000000" w:rsidRPr="00000000">
          <w:rPr>
            <w:color w:val="0000ff"/>
            <w:u w:val="single"/>
            <w:rtl w:val="0"/>
          </w:rPr>
          <w:t xml:space="preserve">https://www.theverge.com/2020/10/7/21504023/apple-watch-ekg-blood-oxygen-fda-clearance</w:t>
        </w:r>
      </w:hyperlink>
      <w:r w:rsidDel="00000000" w:rsidR="00000000" w:rsidRPr="00000000">
        <w:rPr>
          <w:rtl w:val="0"/>
        </w:rPr>
        <w:t xml:space="preserve"> [Accessed 18 May 2025].</w:t>
      </w:r>
    </w:p>
    <w:p w:rsidR="00000000" w:rsidDel="00000000" w:rsidP="00000000" w:rsidRDefault="00000000" w:rsidRPr="00000000" w14:paraId="00001845">
      <w:pPr>
        <w:spacing w:after="280" w:before="280" w:lineRule="auto"/>
        <w:jc w:val="both"/>
        <w:rPr/>
      </w:pPr>
      <w:r w:rsidDel="00000000" w:rsidR="00000000" w:rsidRPr="00000000">
        <w:rPr>
          <w:rtl w:val="0"/>
        </w:rPr>
        <w:t xml:space="preserve">Wilson, H.D., Toepfer, V.E., Senapati, A.K., Wilson, J.R. and Fuchs, P.N., 2007. Hyperbaric oxygen treatment is comparable to acetylsalicylic acid treatment in an animal model of arthritis. </w:t>
      </w:r>
      <w:r w:rsidDel="00000000" w:rsidR="00000000" w:rsidRPr="00000000">
        <w:rPr>
          <w:i w:val="1"/>
          <w:rtl w:val="0"/>
        </w:rPr>
        <w:t xml:space="preserve">The Journal of Pain</w:t>
      </w:r>
      <w:r w:rsidDel="00000000" w:rsidR="00000000" w:rsidRPr="00000000">
        <w:rPr>
          <w:rtl w:val="0"/>
        </w:rPr>
        <w:t xml:space="preserve">, 8(12), pp.924–930. </w:t>
      </w:r>
      <w:hyperlink r:id="rId258">
        <w:r w:rsidDel="00000000" w:rsidR="00000000" w:rsidRPr="00000000">
          <w:rPr>
            <w:color w:val="0000ff"/>
            <w:u w:val="single"/>
            <w:rtl w:val="0"/>
          </w:rPr>
          <w:t xml:space="preserve">https://doi.org/10.1016/j.jpain.2007.06.005</w:t>
        </w:r>
      </w:hyperlink>
      <w:r w:rsidDel="00000000" w:rsidR="00000000" w:rsidRPr="00000000">
        <w:rPr>
          <w:rtl w:val="0"/>
        </w:rPr>
      </w:r>
    </w:p>
    <w:p w:rsidR="00000000" w:rsidDel="00000000" w:rsidP="00000000" w:rsidRDefault="00000000" w:rsidRPr="00000000" w14:paraId="00001846">
      <w:pPr>
        <w:spacing w:after="280" w:before="280" w:lineRule="auto"/>
        <w:jc w:val="both"/>
        <w:rPr/>
      </w:pPr>
      <w:r w:rsidDel="00000000" w:rsidR="00000000" w:rsidRPr="00000000">
        <w:rPr>
          <w:rtl w:val="0"/>
        </w:rPr>
        <w:t xml:space="preserve">Wu, C.W., 2016. Destination loyalty modeling of the global tourism. </w:t>
      </w:r>
      <w:r w:rsidDel="00000000" w:rsidR="00000000" w:rsidRPr="00000000">
        <w:rPr>
          <w:i w:val="1"/>
          <w:rtl w:val="0"/>
        </w:rPr>
        <w:t xml:space="preserve">Journal of Business Research</w:t>
      </w:r>
      <w:r w:rsidDel="00000000" w:rsidR="00000000" w:rsidRPr="00000000">
        <w:rPr>
          <w:rtl w:val="0"/>
        </w:rPr>
        <w:t xml:space="preserve">, 69(6), pp.2213–2219. </w:t>
      </w:r>
      <w:hyperlink r:id="rId259">
        <w:r w:rsidDel="00000000" w:rsidR="00000000" w:rsidRPr="00000000">
          <w:rPr>
            <w:color w:val="0000ff"/>
            <w:u w:val="single"/>
            <w:rtl w:val="0"/>
          </w:rPr>
          <w:t xml:space="preserve">https://doi.org/10.1016/j.jbusres.2015.12.032</w:t>
        </w:r>
      </w:hyperlink>
      <w:r w:rsidDel="00000000" w:rsidR="00000000" w:rsidRPr="00000000">
        <w:rPr>
          <w:rtl w:val="0"/>
        </w:rPr>
      </w:r>
    </w:p>
    <w:p w:rsidR="00000000" w:rsidDel="00000000" w:rsidP="00000000" w:rsidRDefault="00000000" w:rsidRPr="00000000" w14:paraId="00001847">
      <w:pPr>
        <w:spacing w:after="280" w:before="280" w:lineRule="auto"/>
        <w:jc w:val="both"/>
        <w:rPr/>
      </w:pPr>
      <w:r w:rsidDel="00000000" w:rsidR="00000000" w:rsidRPr="00000000">
        <w:rPr>
          <w:rtl w:val="0"/>
        </w:rPr>
        <w:t xml:space="preserve">Wunsch, A. and Matuschka, K., 2014. A controlled trial to determine the efficacy of red and near-infrared light treatment in patient satisfaction, reduction of fine lines, wrinkles, skin roughness, and intradermal collagen density increase. </w:t>
      </w:r>
      <w:r w:rsidDel="00000000" w:rsidR="00000000" w:rsidRPr="00000000">
        <w:rPr>
          <w:i w:val="1"/>
          <w:rtl w:val="0"/>
        </w:rPr>
        <w:t xml:space="preserve">Photomedicine and Laser Surgery</w:t>
      </w:r>
      <w:r w:rsidDel="00000000" w:rsidR="00000000" w:rsidRPr="00000000">
        <w:rPr>
          <w:rtl w:val="0"/>
        </w:rPr>
        <w:t xml:space="preserve">, 32(2), pp.93–100. </w:t>
      </w:r>
      <w:hyperlink r:id="rId260">
        <w:r w:rsidDel="00000000" w:rsidR="00000000" w:rsidRPr="00000000">
          <w:rPr>
            <w:color w:val="0000ff"/>
            <w:u w:val="single"/>
            <w:rtl w:val="0"/>
          </w:rPr>
          <w:t xml:space="preserve">https://doi.org/10.1089/pho.2013.3616</w:t>
        </w:r>
      </w:hyperlink>
      <w:r w:rsidDel="00000000" w:rsidR="00000000" w:rsidRPr="00000000">
        <w:rPr>
          <w:rtl w:val="0"/>
        </w:rPr>
      </w:r>
    </w:p>
    <w:p w:rsidR="00000000" w:rsidDel="00000000" w:rsidP="00000000" w:rsidRDefault="00000000" w:rsidRPr="00000000" w14:paraId="00001848">
      <w:pPr>
        <w:spacing w:after="280" w:before="280" w:lineRule="auto"/>
        <w:jc w:val="both"/>
        <w:rPr/>
      </w:pPr>
      <w:r w:rsidDel="00000000" w:rsidR="00000000" w:rsidRPr="00000000">
        <w:rPr>
          <w:rtl w:val="0"/>
        </w:rPr>
        <w:t xml:space="preserve">Xiao, F., Kabachkova, A.V., Jiao, L., Zhao, H. and Kapilevich, L.V., 2023. Effects of cold water immersion after exercise on fatigue recovery and exercise performance: Meta-analysis. </w:t>
      </w:r>
      <w:r w:rsidDel="00000000" w:rsidR="00000000" w:rsidRPr="00000000">
        <w:rPr>
          <w:i w:val="1"/>
          <w:rtl w:val="0"/>
        </w:rPr>
        <w:t xml:space="preserve">Frontiers in Physiology</w:t>
      </w:r>
      <w:r w:rsidDel="00000000" w:rsidR="00000000" w:rsidRPr="00000000">
        <w:rPr>
          <w:rtl w:val="0"/>
        </w:rPr>
        <w:t xml:space="preserve">, 14, 1006512. </w:t>
      </w:r>
      <w:hyperlink r:id="rId261">
        <w:r w:rsidDel="00000000" w:rsidR="00000000" w:rsidRPr="00000000">
          <w:rPr>
            <w:color w:val="0000ff"/>
            <w:u w:val="single"/>
            <w:rtl w:val="0"/>
          </w:rPr>
          <w:t xml:space="preserve">https://doi.org/10.3389/fphys.2023.1006512</w:t>
        </w:r>
      </w:hyperlink>
      <w:r w:rsidDel="00000000" w:rsidR="00000000" w:rsidRPr="00000000">
        <w:rPr>
          <w:rtl w:val="0"/>
        </w:rPr>
      </w:r>
    </w:p>
    <w:p w:rsidR="00000000" w:rsidDel="00000000" w:rsidP="00000000" w:rsidRDefault="00000000" w:rsidRPr="00000000" w14:paraId="00001849">
      <w:pPr>
        <w:spacing w:after="280" w:before="280" w:lineRule="auto"/>
        <w:jc w:val="both"/>
        <w:rPr/>
      </w:pPr>
      <w:r w:rsidDel="00000000" w:rsidR="00000000" w:rsidRPr="00000000">
        <w:rPr>
          <w:rtl w:val="0"/>
        </w:rPr>
        <w:t xml:space="preserve">Yadav, A. and Yadav, K., 2025. Transforming healthcare and fitness with AI-powered next-generation smart clothing. </w:t>
      </w:r>
      <w:r w:rsidDel="00000000" w:rsidR="00000000" w:rsidRPr="00000000">
        <w:rPr>
          <w:i w:val="1"/>
          <w:rtl w:val="0"/>
        </w:rPr>
        <w:t xml:space="preserve">Discover Electrochemistry</w:t>
      </w:r>
      <w:r w:rsidDel="00000000" w:rsidR="00000000" w:rsidRPr="00000000">
        <w:rPr>
          <w:rtl w:val="0"/>
        </w:rPr>
        <w:t xml:space="preserve">, 2(2). </w:t>
      </w:r>
      <w:hyperlink r:id="rId262">
        <w:r w:rsidDel="00000000" w:rsidR="00000000" w:rsidRPr="00000000">
          <w:rPr>
            <w:color w:val="0000ff"/>
            <w:u w:val="single"/>
            <w:rtl w:val="0"/>
          </w:rPr>
          <w:t xml:space="preserve">https://doi.org/10.1007/s44373-025-00015-z</w:t>
        </w:r>
      </w:hyperlink>
      <w:r w:rsidDel="00000000" w:rsidR="00000000" w:rsidRPr="00000000">
        <w:rPr>
          <w:rtl w:val="0"/>
        </w:rPr>
      </w:r>
    </w:p>
    <w:p w:rsidR="00000000" w:rsidDel="00000000" w:rsidP="00000000" w:rsidRDefault="00000000" w:rsidRPr="00000000" w14:paraId="0000184A">
      <w:pPr>
        <w:spacing w:after="280" w:before="280" w:lineRule="auto"/>
        <w:jc w:val="both"/>
        <w:rPr/>
      </w:pPr>
      <w:r w:rsidDel="00000000" w:rsidR="00000000" w:rsidRPr="00000000">
        <w:rPr>
          <w:rtl w:val="0"/>
        </w:rPr>
        <w:t xml:space="preserve">Yankouskaya, A., Williamson, R., Stacey, C., Totman, J.J. and Massey, H., 2023. Short-term head-out whole-body cold-water immersion facilitates positive affect and increases interaction between large-scale brain networks. </w:t>
      </w:r>
      <w:r w:rsidDel="00000000" w:rsidR="00000000" w:rsidRPr="00000000">
        <w:rPr>
          <w:i w:val="1"/>
          <w:rtl w:val="0"/>
        </w:rPr>
        <w:t xml:space="preserve">Biology</w:t>
      </w:r>
      <w:r w:rsidDel="00000000" w:rsidR="00000000" w:rsidRPr="00000000">
        <w:rPr>
          <w:rtl w:val="0"/>
        </w:rPr>
        <w:t xml:space="preserve">, 12(2), 211. </w:t>
      </w:r>
      <w:hyperlink r:id="rId263">
        <w:r w:rsidDel="00000000" w:rsidR="00000000" w:rsidRPr="00000000">
          <w:rPr>
            <w:color w:val="0000ff"/>
            <w:u w:val="single"/>
            <w:rtl w:val="0"/>
          </w:rPr>
          <w:t xml:space="preserve">https://doi.org/10.3390/biology12020211</w:t>
        </w:r>
      </w:hyperlink>
      <w:r w:rsidDel="00000000" w:rsidR="00000000" w:rsidRPr="00000000">
        <w:rPr>
          <w:rtl w:val="0"/>
        </w:rPr>
      </w:r>
    </w:p>
    <w:p w:rsidR="00000000" w:rsidDel="00000000" w:rsidP="00000000" w:rsidRDefault="00000000" w:rsidRPr="00000000" w14:paraId="0000184B">
      <w:pPr>
        <w:spacing w:after="280" w:before="280" w:lineRule="auto"/>
        <w:jc w:val="both"/>
        <w:rPr/>
      </w:pPr>
      <w:r w:rsidDel="00000000" w:rsidR="00000000" w:rsidRPr="00000000">
        <w:rPr>
          <w:rtl w:val="0"/>
        </w:rPr>
        <w:t xml:space="preserve">Yao, E., Guo, D., Liu, S. and Zhang, J., 2024. The role of technology belief, perceived risk and initial trust in users’ acceptance of urban air mobility: An empirical case in China. </w:t>
      </w:r>
      <w:r w:rsidDel="00000000" w:rsidR="00000000" w:rsidRPr="00000000">
        <w:rPr>
          <w:i w:val="1"/>
          <w:rtl w:val="0"/>
        </w:rPr>
        <w:t xml:space="preserve">Multimodal Transportation</w:t>
      </w:r>
      <w:r w:rsidDel="00000000" w:rsidR="00000000" w:rsidRPr="00000000">
        <w:rPr>
          <w:rtl w:val="0"/>
        </w:rPr>
        <w:t xml:space="preserve">, 3(4), 100169. </w:t>
      </w:r>
      <w:hyperlink r:id="rId264">
        <w:r w:rsidDel="00000000" w:rsidR="00000000" w:rsidRPr="00000000">
          <w:rPr>
            <w:color w:val="0000ff"/>
            <w:u w:val="single"/>
            <w:rtl w:val="0"/>
          </w:rPr>
          <w:t xml:space="preserve">https://doi.org/10.1016/j.multra.2024.100169</w:t>
        </w:r>
      </w:hyperlink>
      <w:r w:rsidDel="00000000" w:rsidR="00000000" w:rsidRPr="00000000">
        <w:rPr>
          <w:rtl w:val="0"/>
        </w:rPr>
      </w:r>
    </w:p>
    <w:p w:rsidR="00000000" w:rsidDel="00000000" w:rsidP="00000000" w:rsidRDefault="00000000" w:rsidRPr="00000000" w14:paraId="0000184C">
      <w:pPr>
        <w:spacing w:after="280" w:before="280" w:lineRule="auto"/>
        <w:jc w:val="both"/>
        <w:rPr/>
      </w:pPr>
      <w:r w:rsidDel="00000000" w:rsidR="00000000" w:rsidRPr="00000000">
        <w:rPr>
          <w:rtl w:val="0"/>
        </w:rPr>
        <w:t xml:space="preserve">Yeung, A.W.K., Torkamani, A., Butte, A.J., Glicksberg, B.S., Schuller, B., Rodriguez, B., Ting, D.S.W., Bates, D., Schaden, E., Peng, H., Willschke, H., van der Laak, J., Car, J., Rahimi, K., Celi, L.A., Banach, M., Kletecka-Pulker, M., Kimberger, O., Eils, R. and Atanasov, A.G., 2023. The promise of digital healthcare technologies. </w:t>
      </w:r>
      <w:r w:rsidDel="00000000" w:rsidR="00000000" w:rsidRPr="00000000">
        <w:rPr>
          <w:i w:val="1"/>
          <w:rtl w:val="0"/>
        </w:rPr>
        <w:t xml:space="preserve">Frontiers in Public Health</w:t>
      </w:r>
      <w:r w:rsidDel="00000000" w:rsidR="00000000" w:rsidRPr="00000000">
        <w:rPr>
          <w:rtl w:val="0"/>
        </w:rPr>
        <w:t xml:space="preserve">, 11, 1196596. </w:t>
      </w:r>
      <w:hyperlink r:id="rId265">
        <w:r w:rsidDel="00000000" w:rsidR="00000000" w:rsidRPr="00000000">
          <w:rPr>
            <w:color w:val="0000ff"/>
            <w:u w:val="single"/>
            <w:rtl w:val="0"/>
          </w:rPr>
          <w:t xml:space="preserve">https://doi.org/10.3389/fpubh.2023.1196596</w:t>
        </w:r>
      </w:hyperlink>
      <w:r w:rsidDel="00000000" w:rsidR="00000000" w:rsidRPr="00000000">
        <w:rPr>
          <w:rtl w:val="0"/>
        </w:rPr>
      </w:r>
    </w:p>
    <w:p w:rsidR="00000000" w:rsidDel="00000000" w:rsidP="00000000" w:rsidRDefault="00000000" w:rsidRPr="00000000" w14:paraId="0000184D">
      <w:pPr>
        <w:spacing w:after="280" w:before="280" w:lineRule="auto"/>
        <w:jc w:val="both"/>
        <w:rPr/>
      </w:pPr>
      <w:r w:rsidDel="00000000" w:rsidR="00000000" w:rsidRPr="00000000">
        <w:rPr>
          <w:rtl w:val="0"/>
        </w:rPr>
        <w:t xml:space="preserve">Yi, M., Fiedler, K.D. and Park, J.S., 2006. Understanding the role of individual innovativeness in the acceptance of IT‐based innovations: Comparative analyses of models and measures. </w:t>
      </w:r>
      <w:r w:rsidDel="00000000" w:rsidR="00000000" w:rsidRPr="00000000">
        <w:rPr>
          <w:i w:val="1"/>
          <w:rtl w:val="0"/>
        </w:rPr>
        <w:t xml:space="preserve">Decision Sciences</w:t>
      </w:r>
      <w:r w:rsidDel="00000000" w:rsidR="00000000" w:rsidRPr="00000000">
        <w:rPr>
          <w:rtl w:val="0"/>
        </w:rPr>
        <w:t xml:space="preserve">, 37(3), pp.393–426. </w:t>
      </w:r>
      <w:hyperlink r:id="rId266">
        <w:r w:rsidDel="00000000" w:rsidR="00000000" w:rsidRPr="00000000">
          <w:rPr>
            <w:color w:val="0000ff"/>
            <w:u w:val="single"/>
            <w:rtl w:val="0"/>
          </w:rPr>
          <w:t xml:space="preserve">https://doi.org/10.1111/j.1540-5414.2006.00132.x</w:t>
        </w:r>
      </w:hyperlink>
      <w:r w:rsidDel="00000000" w:rsidR="00000000" w:rsidRPr="00000000">
        <w:rPr>
          <w:rtl w:val="0"/>
        </w:rPr>
      </w:r>
    </w:p>
    <w:p w:rsidR="00000000" w:rsidDel="00000000" w:rsidP="00000000" w:rsidRDefault="00000000" w:rsidRPr="00000000" w14:paraId="0000184E">
      <w:pPr>
        <w:spacing w:after="280" w:before="280" w:lineRule="auto"/>
        <w:jc w:val="both"/>
        <w:rPr/>
      </w:pPr>
      <w:r w:rsidDel="00000000" w:rsidR="00000000" w:rsidRPr="00000000">
        <w:rPr>
          <w:rtl w:val="0"/>
        </w:rPr>
        <w:t xml:space="preserve">Yousaf, A., Mishra, A. and Gupta, A., 2021. From technology adoption to consumption: Effect of pre-adoption expectations from fitness applications on usage satisfaction, continual usage, and health satisfaction. </w:t>
      </w:r>
      <w:r w:rsidDel="00000000" w:rsidR="00000000" w:rsidRPr="00000000">
        <w:rPr>
          <w:i w:val="1"/>
          <w:rtl w:val="0"/>
        </w:rPr>
        <w:t xml:space="preserve">Journal of Retailing and Consumer Services</w:t>
      </w:r>
      <w:r w:rsidDel="00000000" w:rsidR="00000000" w:rsidRPr="00000000">
        <w:rPr>
          <w:rtl w:val="0"/>
        </w:rPr>
        <w:t xml:space="preserve">, 62, 102655. </w:t>
      </w:r>
      <w:hyperlink r:id="rId267">
        <w:r w:rsidDel="00000000" w:rsidR="00000000" w:rsidRPr="00000000">
          <w:rPr>
            <w:color w:val="0000ff"/>
            <w:u w:val="single"/>
            <w:rtl w:val="0"/>
          </w:rPr>
          <w:t xml:space="preserve">https://doi.org/10.1016/j.jretconser.2021.102655</w:t>
        </w:r>
      </w:hyperlink>
      <w:r w:rsidDel="00000000" w:rsidR="00000000" w:rsidRPr="00000000">
        <w:rPr>
          <w:rtl w:val="0"/>
        </w:rPr>
      </w:r>
    </w:p>
    <w:p w:rsidR="00000000" w:rsidDel="00000000" w:rsidP="00000000" w:rsidRDefault="00000000" w:rsidRPr="00000000" w14:paraId="0000184F">
      <w:pPr>
        <w:spacing w:after="280" w:before="280" w:lineRule="auto"/>
        <w:jc w:val="both"/>
        <w:rPr/>
      </w:pPr>
      <w:r w:rsidDel="00000000" w:rsidR="00000000" w:rsidRPr="00000000">
        <w:rPr>
          <w:rtl w:val="0"/>
        </w:rPr>
        <w:t xml:space="preserve">Yu, S. and Chen, T., 2024. Understanding older adults' acceptance of chatbots in healthcare delivery: An extended UTAUT model. </w:t>
      </w:r>
      <w:r w:rsidDel="00000000" w:rsidR="00000000" w:rsidRPr="00000000">
        <w:rPr>
          <w:i w:val="1"/>
          <w:rtl w:val="0"/>
        </w:rPr>
        <w:t xml:space="preserve">Frontiers in Public Health</w:t>
      </w:r>
      <w:r w:rsidDel="00000000" w:rsidR="00000000" w:rsidRPr="00000000">
        <w:rPr>
          <w:rtl w:val="0"/>
        </w:rPr>
        <w:t xml:space="preserve">, 12, 1435329. </w:t>
      </w:r>
      <w:hyperlink r:id="rId268">
        <w:r w:rsidDel="00000000" w:rsidR="00000000" w:rsidRPr="00000000">
          <w:rPr>
            <w:color w:val="0000ff"/>
            <w:u w:val="single"/>
            <w:rtl w:val="0"/>
          </w:rPr>
          <w:t xml:space="preserve">https://doi.org/10.3389/fpubh.2024.1435329</w:t>
        </w:r>
      </w:hyperlink>
      <w:r w:rsidDel="00000000" w:rsidR="00000000" w:rsidRPr="00000000">
        <w:rPr>
          <w:rtl w:val="0"/>
        </w:rPr>
      </w:r>
    </w:p>
    <w:p w:rsidR="00000000" w:rsidDel="00000000" w:rsidP="00000000" w:rsidRDefault="00000000" w:rsidRPr="00000000" w14:paraId="00001850">
      <w:pPr>
        <w:spacing w:after="280" w:before="280" w:lineRule="auto"/>
        <w:jc w:val="both"/>
        <w:rPr/>
      </w:pPr>
      <w:r w:rsidDel="00000000" w:rsidR="00000000" w:rsidRPr="00000000">
        <w:rPr>
          <w:rtl w:val="0"/>
        </w:rPr>
        <w:t xml:space="preserve">Yu, S., Wan, R., Bai, L., Zhao, B., Jiang, Q., Jiang, J. and Li, Y., 2023. Transformation of chronic disease management: Before and after the COVID-19 outbreak. </w:t>
      </w:r>
      <w:r w:rsidDel="00000000" w:rsidR="00000000" w:rsidRPr="00000000">
        <w:rPr>
          <w:i w:val="1"/>
          <w:rtl w:val="0"/>
        </w:rPr>
        <w:t xml:space="preserve">Frontiers in Public Health</w:t>
      </w:r>
      <w:r w:rsidDel="00000000" w:rsidR="00000000" w:rsidRPr="00000000">
        <w:rPr>
          <w:rtl w:val="0"/>
        </w:rPr>
        <w:t xml:space="preserve">, 11, 1074364. </w:t>
      </w:r>
      <w:hyperlink r:id="rId269">
        <w:r w:rsidDel="00000000" w:rsidR="00000000" w:rsidRPr="00000000">
          <w:rPr>
            <w:color w:val="0000ff"/>
            <w:u w:val="single"/>
            <w:rtl w:val="0"/>
          </w:rPr>
          <w:t xml:space="preserve">https://doi.org/10.3389/fpubh.2023.1074364</w:t>
        </w:r>
      </w:hyperlink>
      <w:r w:rsidDel="00000000" w:rsidR="00000000" w:rsidRPr="00000000">
        <w:rPr>
          <w:rtl w:val="0"/>
        </w:rPr>
      </w:r>
    </w:p>
    <w:p w:rsidR="00000000" w:rsidDel="00000000" w:rsidP="00000000" w:rsidRDefault="00000000" w:rsidRPr="00000000" w14:paraId="00001851">
      <w:pPr>
        <w:spacing w:after="280" w:before="280" w:lineRule="auto"/>
        <w:jc w:val="both"/>
        <w:rPr/>
      </w:pPr>
      <w:r w:rsidDel="00000000" w:rsidR="00000000" w:rsidRPr="00000000">
        <w:rPr>
          <w:rtl w:val="0"/>
        </w:rPr>
        <w:t xml:space="preserve">Zahlan, A., Ranjan, R.P. and Hayes, D., 2023. Artificial intelligence innovation in healthcare: Literature review, exploratory analysis, and future research. </w:t>
      </w:r>
      <w:r w:rsidDel="00000000" w:rsidR="00000000" w:rsidRPr="00000000">
        <w:rPr>
          <w:i w:val="1"/>
          <w:rtl w:val="0"/>
        </w:rPr>
        <w:t xml:space="preserve">Technology in Society</w:t>
      </w:r>
      <w:r w:rsidDel="00000000" w:rsidR="00000000" w:rsidRPr="00000000">
        <w:rPr>
          <w:rtl w:val="0"/>
        </w:rPr>
        <w:t xml:space="preserve">, 74, 102321. </w:t>
      </w:r>
      <w:hyperlink r:id="rId270">
        <w:r w:rsidDel="00000000" w:rsidR="00000000" w:rsidRPr="00000000">
          <w:rPr>
            <w:color w:val="0000ff"/>
            <w:u w:val="single"/>
            <w:rtl w:val="0"/>
          </w:rPr>
          <w:t xml:space="preserve">https://doi.org/10.1016/j.techsoc.2023.102321</w:t>
        </w:r>
      </w:hyperlink>
      <w:r w:rsidDel="00000000" w:rsidR="00000000" w:rsidRPr="00000000">
        <w:rPr>
          <w:rtl w:val="0"/>
        </w:rPr>
      </w:r>
    </w:p>
    <w:p w:rsidR="00000000" w:rsidDel="00000000" w:rsidP="00000000" w:rsidRDefault="00000000" w:rsidRPr="00000000" w14:paraId="00001852">
      <w:pPr>
        <w:spacing w:after="280" w:before="280" w:lineRule="auto"/>
        <w:jc w:val="both"/>
        <w:rPr/>
      </w:pPr>
      <w:r w:rsidDel="00000000" w:rsidR="00000000" w:rsidRPr="00000000">
        <w:rPr>
          <w:rtl w:val="0"/>
        </w:rPr>
        <w:t xml:space="preserve">Zein, R., Selting, W. and Hamblin, M.R., 2018. Review of light parameters and photobiomodulation efficacy: Dive into complexity. </w:t>
      </w:r>
      <w:r w:rsidDel="00000000" w:rsidR="00000000" w:rsidRPr="00000000">
        <w:rPr>
          <w:i w:val="1"/>
          <w:rtl w:val="0"/>
        </w:rPr>
        <w:t xml:space="preserve">Journal of Biomedical Optics</w:t>
      </w:r>
      <w:r w:rsidDel="00000000" w:rsidR="00000000" w:rsidRPr="00000000">
        <w:rPr>
          <w:rtl w:val="0"/>
        </w:rPr>
        <w:t xml:space="preserve">, 23(12), pp.1–17. </w:t>
      </w:r>
      <w:hyperlink r:id="rId271">
        <w:r w:rsidDel="00000000" w:rsidR="00000000" w:rsidRPr="00000000">
          <w:rPr>
            <w:color w:val="0000ff"/>
            <w:u w:val="single"/>
            <w:rtl w:val="0"/>
          </w:rPr>
          <w:t xml:space="preserve">https://doi.org/10.1117/1.JBO.23.12.120901</w:t>
        </w:r>
      </w:hyperlink>
      <w:r w:rsidDel="00000000" w:rsidR="00000000" w:rsidRPr="00000000">
        <w:rPr>
          <w:rtl w:val="0"/>
        </w:rPr>
      </w:r>
    </w:p>
    <w:p w:rsidR="00000000" w:rsidDel="00000000" w:rsidP="00000000" w:rsidRDefault="00000000" w:rsidRPr="00000000" w14:paraId="00001853">
      <w:pPr>
        <w:spacing w:after="280" w:before="280" w:lineRule="auto"/>
        <w:jc w:val="both"/>
        <w:rPr/>
      </w:pPr>
      <w:r w:rsidDel="00000000" w:rsidR="00000000" w:rsidRPr="00000000">
        <w:rPr>
          <w:rtl w:val="0"/>
        </w:rPr>
        <w:t xml:space="preserve">Zhang, R. and Qu, J., 2023. The mechanisms and efficacy of photobiomodulation therapy for arthritis: A comprehensive review. </w:t>
      </w:r>
      <w:r w:rsidDel="00000000" w:rsidR="00000000" w:rsidRPr="00000000">
        <w:rPr>
          <w:i w:val="1"/>
          <w:rtl w:val="0"/>
        </w:rPr>
        <w:t xml:space="preserve">International Journal of Molecular Sciences</w:t>
      </w:r>
      <w:r w:rsidDel="00000000" w:rsidR="00000000" w:rsidRPr="00000000">
        <w:rPr>
          <w:rtl w:val="0"/>
        </w:rPr>
        <w:t xml:space="preserve">, 24(18), 14293. </w:t>
      </w:r>
      <w:hyperlink r:id="rId272">
        <w:r w:rsidDel="00000000" w:rsidR="00000000" w:rsidRPr="00000000">
          <w:rPr>
            <w:color w:val="0000ff"/>
            <w:u w:val="single"/>
            <w:rtl w:val="0"/>
          </w:rPr>
          <w:t xml:space="preserve">https://doi.org/10.3390/ijms241814293</w:t>
        </w:r>
      </w:hyperlink>
      <w:r w:rsidDel="00000000" w:rsidR="00000000" w:rsidRPr="00000000">
        <w:rPr>
          <w:rtl w:val="0"/>
        </w:rPr>
      </w:r>
    </w:p>
    <w:p w:rsidR="00000000" w:rsidDel="00000000" w:rsidP="00000000" w:rsidRDefault="00000000" w:rsidRPr="00000000" w14:paraId="00001854">
      <w:pPr>
        <w:spacing w:after="280" w:before="280" w:lineRule="auto"/>
        <w:jc w:val="both"/>
        <w:rPr/>
      </w:pPr>
      <w:r w:rsidDel="00000000" w:rsidR="00000000" w:rsidRPr="00000000">
        <w:rPr>
          <w:rtl w:val="0"/>
        </w:rPr>
        <w:t xml:space="preserve">Zhao, H. and Khaliq, N., 2024. In quest of perceived risk determinants affecting intention to use fintech: Moderating effects of situational factors. </w:t>
      </w:r>
      <w:r w:rsidDel="00000000" w:rsidR="00000000" w:rsidRPr="00000000">
        <w:rPr>
          <w:i w:val="1"/>
          <w:rtl w:val="0"/>
        </w:rPr>
        <w:t xml:space="preserve">Technological Forecasting and Social Change</w:t>
      </w:r>
      <w:r w:rsidDel="00000000" w:rsidR="00000000" w:rsidRPr="00000000">
        <w:rPr>
          <w:rtl w:val="0"/>
        </w:rPr>
        <w:t xml:space="preserve">, 207, 123599. </w:t>
      </w:r>
      <w:hyperlink r:id="rId273">
        <w:r w:rsidDel="00000000" w:rsidR="00000000" w:rsidRPr="00000000">
          <w:rPr>
            <w:color w:val="0000ff"/>
            <w:u w:val="single"/>
            <w:rtl w:val="0"/>
          </w:rPr>
          <w:t xml:space="preserve">https://doi.org/10.1016/j.techfore.2024.123599</w:t>
        </w:r>
      </w:hyperlink>
      <w:r w:rsidDel="00000000" w:rsidR="00000000" w:rsidRPr="00000000">
        <w:rPr>
          <w:rtl w:val="0"/>
        </w:rPr>
      </w:r>
    </w:p>
    <w:p w:rsidR="00000000" w:rsidDel="00000000" w:rsidP="00000000" w:rsidRDefault="00000000" w:rsidRPr="00000000" w14:paraId="00001855">
      <w:pPr>
        <w:spacing w:after="280" w:before="280" w:lineRule="auto"/>
        <w:jc w:val="both"/>
        <w:rPr/>
      </w:pPr>
      <w:r w:rsidDel="00000000" w:rsidR="00000000" w:rsidRPr="00000000">
        <w:rPr>
          <w:rtl w:val="0"/>
        </w:rPr>
        <w:t xml:space="preserve">Zhao, K., Stylianou, A. and Zheng, Y., 2017. Sources and impacts of social influence from online anonymous user reviews. </w:t>
      </w:r>
      <w:r w:rsidDel="00000000" w:rsidR="00000000" w:rsidRPr="00000000">
        <w:rPr>
          <w:i w:val="1"/>
          <w:rtl w:val="0"/>
        </w:rPr>
        <w:t xml:space="preserve">Information &amp; Management</w:t>
      </w:r>
      <w:r w:rsidDel="00000000" w:rsidR="00000000" w:rsidRPr="00000000">
        <w:rPr>
          <w:rtl w:val="0"/>
        </w:rPr>
        <w:t xml:space="preserve">, 55(1), pp.16–30. </w:t>
      </w:r>
      <w:hyperlink r:id="rId274">
        <w:r w:rsidDel="00000000" w:rsidR="00000000" w:rsidRPr="00000000">
          <w:rPr>
            <w:color w:val="0000ff"/>
            <w:u w:val="single"/>
            <w:rtl w:val="0"/>
          </w:rPr>
          <w:t xml:space="preserve">https://doi.org/10.1016/j.im.2017.03.006</w:t>
        </w:r>
      </w:hyperlink>
      <w:r w:rsidDel="00000000" w:rsidR="00000000" w:rsidRPr="00000000">
        <w:rPr>
          <w:rtl w:val="0"/>
        </w:rPr>
      </w:r>
    </w:p>
    <w:p w:rsidR="00000000" w:rsidDel="00000000" w:rsidP="00000000" w:rsidRDefault="00000000" w:rsidRPr="00000000" w14:paraId="00001856">
      <w:pPr>
        <w:spacing w:after="280" w:before="280" w:lineRule="auto"/>
        <w:jc w:val="both"/>
        <w:rPr/>
      </w:pPr>
      <w:r w:rsidDel="00000000" w:rsidR="00000000" w:rsidRPr="00000000">
        <w:rPr>
          <w:rtl w:val="0"/>
        </w:rPr>
        <w:t xml:space="preserve">Zin, K.S.L.T., Kim, S., Kim, H.-S. and Feyissa, I.F., 2023. A study on technology acceptance of digital healthcare among older Korean adults using extended TAM (Extended Technology Acceptance Model). </w:t>
      </w:r>
      <w:r w:rsidDel="00000000" w:rsidR="00000000" w:rsidRPr="00000000">
        <w:rPr>
          <w:i w:val="1"/>
          <w:rtl w:val="0"/>
        </w:rPr>
        <w:t xml:space="preserve">Administrative Sciences</w:t>
      </w:r>
      <w:r w:rsidDel="00000000" w:rsidR="00000000" w:rsidRPr="00000000">
        <w:rPr>
          <w:rtl w:val="0"/>
        </w:rPr>
        <w:t xml:space="preserve">, 13(2), 42. </w:t>
      </w:r>
      <w:hyperlink r:id="rId275">
        <w:r w:rsidDel="00000000" w:rsidR="00000000" w:rsidRPr="00000000">
          <w:rPr>
            <w:color w:val="0000ff"/>
            <w:u w:val="single"/>
            <w:rtl w:val="0"/>
          </w:rPr>
          <w:t xml:space="preserve">https://doi.org/10.3390/admsci13020042</w:t>
        </w:r>
      </w:hyperlink>
      <w:r w:rsidDel="00000000" w:rsidR="00000000" w:rsidRPr="00000000">
        <w:rPr>
          <w:rtl w:val="0"/>
        </w:rPr>
      </w:r>
    </w:p>
    <w:p w:rsidR="00000000" w:rsidDel="00000000" w:rsidP="00000000" w:rsidRDefault="00000000" w:rsidRPr="00000000" w14:paraId="00001857">
      <w:pPr>
        <w:spacing w:after="280" w:before="280" w:lineRule="auto"/>
        <w:jc w:val="both"/>
        <w:rPr/>
      </w:pPr>
      <w:r w:rsidDel="00000000" w:rsidR="00000000" w:rsidRPr="00000000">
        <w:rPr>
          <w:rtl w:val="0"/>
        </w:rPr>
        <w:t xml:space="preserve">Zulman, D.M., Jenchura, E.C., Cohen, D.M., Lewis, E.T., Houston, T.K. and Asch, S.M., 2015. How can eHealth technology address challenges related to multimorbidity? Perspectives from patients with multiple chronic conditions. </w:t>
      </w:r>
      <w:r w:rsidDel="00000000" w:rsidR="00000000" w:rsidRPr="00000000">
        <w:rPr>
          <w:i w:val="1"/>
          <w:rtl w:val="0"/>
        </w:rPr>
        <w:t xml:space="preserve">Journal of General Internal Medicine</w:t>
      </w:r>
      <w:r w:rsidDel="00000000" w:rsidR="00000000" w:rsidRPr="00000000">
        <w:rPr>
          <w:rtl w:val="0"/>
        </w:rPr>
        <w:t xml:space="preserve">, 30(8), pp.1063–1070. </w:t>
      </w:r>
      <w:hyperlink r:id="rId276">
        <w:r w:rsidDel="00000000" w:rsidR="00000000" w:rsidRPr="00000000">
          <w:rPr>
            <w:color w:val="0000ff"/>
            <w:u w:val="single"/>
            <w:rtl w:val="0"/>
          </w:rPr>
          <w:t xml:space="preserve">https://doi.org/10.1007/s11606-015-3222-9</w:t>
        </w:r>
      </w:hyperlink>
      <w:r w:rsidDel="00000000" w:rsidR="00000000" w:rsidRPr="00000000">
        <w:rPr>
          <w:rtl w:val="0"/>
        </w:rPr>
      </w:r>
    </w:p>
    <w:p w:rsidR="00000000" w:rsidDel="00000000" w:rsidP="00000000" w:rsidRDefault="00000000" w:rsidRPr="00000000" w14:paraId="00001858">
      <w:pPr>
        <w:spacing w:after="280" w:before="280" w:lineRule="auto"/>
        <w:rPr/>
      </w:pPr>
      <w:r w:rsidDel="00000000" w:rsidR="00000000" w:rsidRPr="00000000">
        <w:rPr>
          <w:rtl w:val="0"/>
        </w:rPr>
      </w:r>
    </w:p>
    <w:p w:rsidR="00000000" w:rsidDel="00000000" w:rsidP="00000000" w:rsidRDefault="00000000" w:rsidRPr="00000000" w14:paraId="00001859">
      <w:pPr>
        <w:spacing w:after="280" w:before="280" w:lineRule="auto"/>
        <w:jc w:val="both"/>
        <w:rPr/>
      </w:pPr>
      <w:r w:rsidDel="00000000" w:rsidR="00000000" w:rsidRPr="00000000">
        <w:rPr>
          <w:rtl w:val="0"/>
        </w:rPr>
      </w:r>
    </w:p>
    <w:p w:rsidR="00000000" w:rsidDel="00000000" w:rsidP="00000000" w:rsidRDefault="00000000" w:rsidRPr="00000000" w14:paraId="0000185A">
      <w:pPr>
        <w:jc w:val="both"/>
        <w:rPr>
          <w:color w:val="1f497d"/>
        </w:rPr>
      </w:pPr>
      <w:r w:rsidDel="00000000" w:rsidR="00000000" w:rsidRPr="00000000">
        <w:rPr>
          <w:rtl w:val="0"/>
        </w:rPr>
      </w:r>
    </w:p>
    <w:sectPr>
      <w:footerReference r:id="rId27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Gungsuh"/>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85B">
    <w:pPr>
      <w:jc w:val="right"/>
      <w:rPr/>
    </w:pPr>
    <w:r w:rsidDel="00000000" w:rsidR="00000000" w:rsidRPr="00000000">
      <w:rPr>
        <w:smallCaps w:val="1"/>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4"/>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080" w:hanging="1080"/>
      </w:pPr>
      <w:rPr/>
    </w:lvl>
    <w:lvl w:ilvl="5">
      <w:start w:val="1"/>
      <w:numFmt w:val="decimal"/>
      <w:lvlText w:val="%1.%2.%3.%4.%5.%6"/>
      <w:lvlJc w:val="left"/>
      <w:pPr>
        <w:ind w:left="1440" w:hanging="1440"/>
      </w:pPr>
      <w:rPr/>
    </w:lvl>
    <w:lvl w:ilvl="6">
      <w:start w:val="1"/>
      <w:numFmt w:val="decimal"/>
      <w:lvlText w:val="%1.%2.%3.%4.%5.%6.%7"/>
      <w:lvlJc w:val="left"/>
      <w:pPr>
        <w:ind w:left="1440" w:hanging="1440"/>
      </w:pPr>
      <w:rPr/>
    </w:lvl>
    <w:lvl w:ilvl="7">
      <w:start w:val="1"/>
      <w:numFmt w:val="decimal"/>
      <w:lvlText w:val="%1.%2.%3.%4.%5.%6.%7.%8"/>
      <w:lvlJc w:val="left"/>
      <w:pPr>
        <w:ind w:left="1800" w:hanging="1800"/>
      </w:pPr>
      <w:rPr/>
    </w:lvl>
    <w:lvl w:ilvl="8">
      <w:start w:val="1"/>
      <w:numFmt w:val="decimal"/>
      <w:lvlText w:val="%1.%2.%3.%4.%5.%6.%7.%8.%9"/>
      <w:lvlJc w:val="left"/>
      <w:pPr>
        <w:ind w:left="2160" w:hanging="2160"/>
      </w:pPr>
      <w:rPr/>
    </w:lvl>
  </w:abstractNum>
  <w:abstractNum w:abstractNumId="20">
    <w:lvl w:ilvl="0">
      <w:start w:val="4"/>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3">
    <w:lvl w:ilvl="0">
      <w:start w:val="5"/>
      <w:numFmt w:val="decimal"/>
      <w:lvlText w:val="%1"/>
      <w:lvlJc w:val="left"/>
      <w:pPr>
        <w:ind w:left="360" w:hanging="360"/>
      </w:pPr>
      <w:rPr/>
    </w:lvl>
    <w:lvl w:ilvl="1">
      <w:start w:val="3"/>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I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56B01"/>
    <w:rPr>
      <w:lang w:eastAsia="en-GB" w:val="en-IN"/>
    </w:rPr>
  </w:style>
  <w:style w:type="paragraph" w:styleId="Heading1">
    <w:name w:val="heading 1"/>
    <w:basedOn w:val="Normal"/>
    <w:next w:val="Normal"/>
    <w:link w:val="Heading1Char"/>
    <w:uiPriority w:val="9"/>
    <w:qFormat w:val="1"/>
    <w:pPr>
      <w:keepNext w:val="1"/>
      <w:keepLines w:val="1"/>
      <w:spacing w:after="120" w:before="480"/>
      <w:outlineLvl w:val="0"/>
    </w:pPr>
    <w:rPr>
      <w:b w:val="1"/>
      <w:sz w:val="48"/>
      <w:szCs w:val="48"/>
      <w:lang w:eastAsia="en-US" w:val="en"/>
    </w:rPr>
  </w:style>
  <w:style w:type="paragraph" w:styleId="Heading2">
    <w:name w:val="heading 2"/>
    <w:basedOn w:val="Normal"/>
    <w:next w:val="Normal"/>
    <w:link w:val="Heading2Char"/>
    <w:uiPriority w:val="9"/>
    <w:unhideWhenUsed w:val="1"/>
    <w:qFormat w:val="1"/>
    <w:pPr>
      <w:keepNext w:val="1"/>
      <w:keepLines w:val="1"/>
      <w:spacing w:after="80" w:before="360"/>
      <w:outlineLvl w:val="1"/>
    </w:pPr>
    <w:rPr>
      <w:b w:val="1"/>
      <w:sz w:val="36"/>
      <w:szCs w:val="36"/>
      <w:lang w:eastAsia="en-US" w:val="en"/>
    </w:rPr>
  </w:style>
  <w:style w:type="paragraph" w:styleId="Heading3">
    <w:name w:val="heading 3"/>
    <w:basedOn w:val="Normal"/>
    <w:next w:val="Normal"/>
    <w:link w:val="Heading3Char"/>
    <w:uiPriority w:val="9"/>
    <w:unhideWhenUsed w:val="1"/>
    <w:qFormat w:val="1"/>
    <w:pPr>
      <w:keepNext w:val="1"/>
      <w:keepLines w:val="1"/>
      <w:spacing w:after="80" w:before="280"/>
      <w:outlineLvl w:val="2"/>
    </w:pPr>
    <w:rPr>
      <w:b w:val="1"/>
      <w:sz w:val="28"/>
      <w:szCs w:val="28"/>
      <w:lang w:eastAsia="en-US" w:val="en"/>
    </w:rPr>
  </w:style>
  <w:style w:type="paragraph" w:styleId="Heading4">
    <w:name w:val="heading 4"/>
    <w:basedOn w:val="Normal"/>
    <w:next w:val="Normal"/>
    <w:link w:val="Heading4Char"/>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link w:val="Heading5Char"/>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pPr>
      <w:keepNext w:val="1"/>
      <w:keepLines w:val="1"/>
      <w:spacing w:after="40" w:before="200"/>
      <w:outlineLvl w:val="5"/>
    </w:pPr>
    <w:rPr>
      <w:b w:val="1"/>
      <w:sz w:val="20"/>
      <w:szCs w:val="20"/>
    </w:rPr>
  </w:style>
  <w:style w:type="paragraph" w:styleId="Heading7">
    <w:name w:val="heading 7"/>
    <w:basedOn w:val="Normal"/>
    <w:next w:val="Normal"/>
    <w:link w:val="Heading7Char"/>
    <w:uiPriority w:val="9"/>
    <w:semiHidden w:val="1"/>
    <w:unhideWhenUsed w:val="1"/>
    <w:qFormat w:val="1"/>
    <w:rsid w:val="009C05BE"/>
    <w:pPr>
      <w:keepNext w:val="1"/>
      <w:keepLines w:val="1"/>
      <w:spacing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9C05BE"/>
    <w:pPr>
      <w:keepNext w:val="1"/>
      <w:keepLines w:val="1"/>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9C05BE"/>
    <w:pPr>
      <w:keepNext w:val="1"/>
      <w:keepLines w:val="1"/>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keepNext w:val="1"/>
      <w:keepLines w:val="1"/>
      <w:spacing w:after="120" w:before="480"/>
    </w:pPr>
    <w:rPr>
      <w:b w:val="1"/>
      <w:sz w:val="72"/>
      <w:szCs w:val="72"/>
      <w:lang w:eastAsia="en-US" w:val="en"/>
    </w:rPr>
  </w:style>
  <w:style w:type="paragraph" w:styleId="Subtitle">
    <w:name w:val="Subtitle"/>
    <w:basedOn w:val="Normal"/>
    <w:next w:val="Normal"/>
    <w:link w:val="SubtitleChar"/>
    <w:uiPriority w:val="11"/>
    <w:qFormat w:val="1"/>
    <w:pPr>
      <w:keepNext w:val="1"/>
      <w:keepLines w:val="1"/>
      <w:spacing w:after="80" w:before="360"/>
    </w:pPr>
    <w:rPr>
      <w:rFonts w:ascii="Georgia" w:cs="Georgia" w:eastAsia="Georgia" w:hAnsi="Georgia"/>
      <w:i w:val="1"/>
      <w:color w:val="666666"/>
      <w:sz w:val="48"/>
      <w:szCs w:val="48"/>
      <w:lang w:eastAsia="en-US" w:val="en"/>
    </w:rPr>
  </w:style>
  <w:style w:type="paragraph" w:styleId="CommentText">
    <w:name w:val="annotation text"/>
    <w:basedOn w:val="Normal"/>
    <w:link w:val="CommentTextChar"/>
    <w:uiPriority w:val="99"/>
    <w:unhideWhenUsed w:val="1"/>
    <w:rPr>
      <w:sz w:val="20"/>
      <w:szCs w:val="20"/>
      <w:lang w:eastAsia="en-US" w:val="en"/>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D914A8"/>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914A8"/>
    <w:rPr>
      <w:rFonts w:ascii="Segoe UI" w:cs="Segoe UI" w:hAnsi="Segoe UI"/>
      <w:sz w:val="18"/>
      <w:szCs w:val="18"/>
    </w:rPr>
  </w:style>
  <w:style w:type="paragraph" w:styleId="ListParagraph">
    <w:name w:val="List Paragraph"/>
    <w:basedOn w:val="Normal"/>
    <w:uiPriority w:val="34"/>
    <w:qFormat w:val="1"/>
    <w:rsid w:val="009832D7"/>
    <w:pPr>
      <w:ind w:left="720"/>
      <w:contextualSpacing w:val="1"/>
    </w:pPr>
    <w:rPr>
      <w:lang w:eastAsia="en-US" w:val="en"/>
    </w:rPr>
  </w:style>
  <w:style w:type="character" w:styleId="Hyperlink">
    <w:name w:val="Hyperlink"/>
    <w:basedOn w:val="DefaultParagraphFont"/>
    <w:uiPriority w:val="99"/>
    <w:unhideWhenUsed w:val="1"/>
    <w:rsid w:val="00A24207"/>
    <w:rPr>
      <w:color w:val="0000ff" w:themeColor="hyperlink"/>
      <w:u w:val="single"/>
    </w:rPr>
  </w:style>
  <w:style w:type="character" w:styleId="UnresolvedMention1" w:customStyle="1">
    <w:name w:val="Unresolved Mention1"/>
    <w:basedOn w:val="DefaultParagraphFont"/>
    <w:uiPriority w:val="99"/>
    <w:semiHidden w:val="1"/>
    <w:unhideWhenUsed w:val="1"/>
    <w:rsid w:val="00A24207"/>
    <w:rPr>
      <w:color w:val="605e5c"/>
      <w:shd w:color="auto" w:fill="e1dfdd" w:val="clear"/>
    </w:rPr>
  </w:style>
  <w:style w:type="paragraph" w:styleId="CommentSubject">
    <w:name w:val="annotation subject"/>
    <w:basedOn w:val="CommentText"/>
    <w:next w:val="CommentText"/>
    <w:link w:val="CommentSubjectChar"/>
    <w:uiPriority w:val="99"/>
    <w:semiHidden w:val="1"/>
    <w:unhideWhenUsed w:val="1"/>
    <w:rsid w:val="003F39AD"/>
    <w:rPr>
      <w:b w:val="1"/>
      <w:bCs w:val="1"/>
    </w:rPr>
  </w:style>
  <w:style w:type="character" w:styleId="CommentSubjectChar" w:customStyle="1">
    <w:name w:val="Comment Subject Char"/>
    <w:basedOn w:val="CommentTextChar"/>
    <w:link w:val="CommentSubject"/>
    <w:uiPriority w:val="99"/>
    <w:semiHidden w:val="1"/>
    <w:rsid w:val="003F39AD"/>
    <w:rPr>
      <w:b w:val="1"/>
      <w:bCs w:val="1"/>
      <w:sz w:val="20"/>
      <w:szCs w:val="20"/>
    </w:rPr>
  </w:style>
  <w:style w:type="character" w:styleId="FollowedHyperlink">
    <w:name w:val="FollowedHyperlink"/>
    <w:basedOn w:val="DefaultParagraphFont"/>
    <w:uiPriority w:val="99"/>
    <w:semiHidden w:val="1"/>
    <w:unhideWhenUsed w:val="1"/>
    <w:rsid w:val="004C22F0"/>
    <w:rPr>
      <w:color w:val="800080" w:themeColor="followedHyperlink"/>
      <w:u w:val="single"/>
    </w:rPr>
  </w:style>
  <w:style w:type="paragraph" w:styleId="NormalWeb">
    <w:name w:val="Normal (Web)"/>
    <w:basedOn w:val="Normal"/>
    <w:uiPriority w:val="99"/>
    <w:unhideWhenUsed w:val="1"/>
    <w:rsid w:val="00761252"/>
    <w:pPr>
      <w:spacing w:after="100" w:afterAutospacing="1" w:before="100" w:beforeAutospacing="1"/>
    </w:pPr>
    <w:rPr>
      <w:smallCaps w:val="1"/>
    </w:rPr>
  </w:style>
  <w:style w:type="character" w:styleId="Strong">
    <w:name w:val="Strong"/>
    <w:basedOn w:val="DefaultParagraphFont"/>
    <w:uiPriority w:val="22"/>
    <w:qFormat w:val="1"/>
    <w:rsid w:val="00761252"/>
    <w:rPr>
      <w:b w:val="1"/>
      <w:bCs w:val="1"/>
    </w:rPr>
  </w:style>
  <w:style w:type="character" w:styleId="Emphasis">
    <w:name w:val="Emphasis"/>
    <w:basedOn w:val="DefaultParagraphFont"/>
    <w:uiPriority w:val="20"/>
    <w:qFormat w:val="1"/>
    <w:rsid w:val="00761252"/>
    <w:rPr>
      <w:i w:val="1"/>
      <w:iCs w:val="1"/>
    </w:rPr>
  </w:style>
  <w:style w:type="character" w:styleId="PlaceholderText">
    <w:name w:val="Placeholder Text"/>
    <w:basedOn w:val="DefaultParagraphFont"/>
    <w:uiPriority w:val="99"/>
    <w:semiHidden w:val="1"/>
    <w:rsid w:val="007D3352"/>
    <w:rPr>
      <w:color w:val="666666"/>
    </w:rPr>
  </w:style>
  <w:style w:type="character" w:styleId="relative" w:customStyle="1">
    <w:name w:val="relative"/>
    <w:basedOn w:val="DefaultParagraphFont"/>
    <w:rsid w:val="00BA081B"/>
  </w:style>
  <w:style w:type="character" w:styleId="ms-1" w:customStyle="1">
    <w:name w:val="ms-1"/>
    <w:basedOn w:val="DefaultParagraphFont"/>
    <w:rsid w:val="00BA081B"/>
  </w:style>
  <w:style w:type="character" w:styleId="max-w-full" w:customStyle="1">
    <w:name w:val="max-w-full"/>
    <w:basedOn w:val="DefaultParagraphFont"/>
    <w:rsid w:val="00BA081B"/>
  </w:style>
  <w:style w:type="character" w:styleId="url" w:customStyle="1">
    <w:name w:val="url"/>
    <w:basedOn w:val="DefaultParagraphFont"/>
    <w:rsid w:val="00BA081B"/>
  </w:style>
  <w:style w:type="character" w:styleId="Heading3Char" w:customStyle="1">
    <w:name w:val="Heading 3 Char"/>
    <w:basedOn w:val="DefaultParagraphFont"/>
    <w:link w:val="Heading3"/>
    <w:uiPriority w:val="9"/>
    <w:rsid w:val="008B2749"/>
    <w:rPr>
      <w:b w:val="1"/>
      <w:sz w:val="28"/>
      <w:szCs w:val="28"/>
    </w:rPr>
  </w:style>
  <w:style w:type="character" w:styleId="UnresolvedMention">
    <w:name w:val="Unresolved Mention"/>
    <w:basedOn w:val="DefaultParagraphFont"/>
    <w:uiPriority w:val="99"/>
    <w:semiHidden w:val="1"/>
    <w:unhideWhenUsed w:val="1"/>
    <w:rsid w:val="006531CF"/>
    <w:rPr>
      <w:color w:val="605e5c"/>
      <w:shd w:color="auto" w:fill="e1dfdd" w:val="clear"/>
    </w:rPr>
  </w:style>
  <w:style w:type="character" w:styleId="HTMLCode">
    <w:name w:val="HTML Code"/>
    <w:basedOn w:val="DefaultParagraphFont"/>
    <w:uiPriority w:val="99"/>
    <w:semiHidden w:val="1"/>
    <w:unhideWhenUsed w:val="1"/>
    <w:rsid w:val="009C05BE"/>
    <w:rPr>
      <w:rFonts w:ascii="Courier New" w:cs="Courier New" w:eastAsia="Times New Roman" w:hAnsi="Courier New"/>
      <w:sz w:val="20"/>
      <w:szCs w:val="20"/>
    </w:rPr>
  </w:style>
  <w:style w:type="character" w:styleId="overflow-hidden" w:customStyle="1">
    <w:name w:val="overflow-hidden"/>
    <w:basedOn w:val="DefaultParagraphFont"/>
    <w:rsid w:val="009C05BE"/>
  </w:style>
  <w:style w:type="character" w:styleId="Heading7Char" w:customStyle="1">
    <w:name w:val="Heading 7 Char"/>
    <w:basedOn w:val="DefaultParagraphFont"/>
    <w:link w:val="Heading7"/>
    <w:uiPriority w:val="9"/>
    <w:semiHidden w:val="1"/>
    <w:rsid w:val="009C05BE"/>
    <w:rPr>
      <w:rFonts w:cstheme="majorBidi" w:eastAsiaTheme="majorEastAsia"/>
      <w:color w:val="595959" w:themeColor="text1" w:themeTint="0000A6"/>
      <w:lang w:eastAsia="en-GB" w:val="en-IN"/>
    </w:rPr>
  </w:style>
  <w:style w:type="character" w:styleId="Heading8Char" w:customStyle="1">
    <w:name w:val="Heading 8 Char"/>
    <w:basedOn w:val="DefaultParagraphFont"/>
    <w:link w:val="Heading8"/>
    <w:uiPriority w:val="9"/>
    <w:semiHidden w:val="1"/>
    <w:rsid w:val="009C05BE"/>
    <w:rPr>
      <w:rFonts w:cstheme="majorBidi" w:eastAsiaTheme="majorEastAsia"/>
      <w:i w:val="1"/>
      <w:iCs w:val="1"/>
      <w:color w:val="272727" w:themeColor="text1" w:themeTint="0000D8"/>
      <w:lang w:eastAsia="en-GB" w:val="en-IN"/>
    </w:rPr>
  </w:style>
  <w:style w:type="character" w:styleId="Heading9Char" w:customStyle="1">
    <w:name w:val="Heading 9 Char"/>
    <w:basedOn w:val="DefaultParagraphFont"/>
    <w:link w:val="Heading9"/>
    <w:uiPriority w:val="9"/>
    <w:semiHidden w:val="1"/>
    <w:rsid w:val="009C05BE"/>
    <w:rPr>
      <w:rFonts w:cstheme="majorBidi" w:eastAsiaTheme="majorEastAsia"/>
      <w:color w:val="272727" w:themeColor="text1" w:themeTint="0000D8"/>
      <w:lang w:eastAsia="en-GB" w:val="en-IN"/>
    </w:rPr>
  </w:style>
  <w:style w:type="character" w:styleId="Heading1Char" w:customStyle="1">
    <w:name w:val="Heading 1 Char"/>
    <w:basedOn w:val="DefaultParagraphFont"/>
    <w:link w:val="Heading1"/>
    <w:uiPriority w:val="9"/>
    <w:rsid w:val="009C05BE"/>
    <w:rPr>
      <w:b w:val="1"/>
      <w:sz w:val="48"/>
      <w:szCs w:val="48"/>
    </w:rPr>
  </w:style>
  <w:style w:type="character" w:styleId="Heading2Char" w:customStyle="1">
    <w:name w:val="Heading 2 Char"/>
    <w:basedOn w:val="DefaultParagraphFont"/>
    <w:link w:val="Heading2"/>
    <w:uiPriority w:val="9"/>
    <w:rsid w:val="009C05BE"/>
    <w:rPr>
      <w:b w:val="1"/>
      <w:sz w:val="36"/>
      <w:szCs w:val="36"/>
    </w:rPr>
  </w:style>
  <w:style w:type="character" w:styleId="Heading4Char" w:customStyle="1">
    <w:name w:val="Heading 4 Char"/>
    <w:basedOn w:val="DefaultParagraphFont"/>
    <w:link w:val="Heading4"/>
    <w:uiPriority w:val="9"/>
    <w:semiHidden w:val="1"/>
    <w:rsid w:val="009C05BE"/>
    <w:rPr>
      <w:b w:val="1"/>
      <w:lang w:eastAsia="en-GB" w:val="en-IN"/>
    </w:rPr>
  </w:style>
  <w:style w:type="character" w:styleId="Heading5Char" w:customStyle="1">
    <w:name w:val="Heading 5 Char"/>
    <w:basedOn w:val="DefaultParagraphFont"/>
    <w:link w:val="Heading5"/>
    <w:uiPriority w:val="9"/>
    <w:semiHidden w:val="1"/>
    <w:rsid w:val="009C05BE"/>
    <w:rPr>
      <w:b w:val="1"/>
      <w:sz w:val="22"/>
      <w:szCs w:val="22"/>
      <w:lang w:eastAsia="en-GB" w:val="en-IN"/>
    </w:rPr>
  </w:style>
  <w:style w:type="character" w:styleId="Heading6Char" w:customStyle="1">
    <w:name w:val="Heading 6 Char"/>
    <w:basedOn w:val="DefaultParagraphFont"/>
    <w:link w:val="Heading6"/>
    <w:uiPriority w:val="9"/>
    <w:semiHidden w:val="1"/>
    <w:rsid w:val="009C05BE"/>
    <w:rPr>
      <w:b w:val="1"/>
      <w:sz w:val="20"/>
      <w:szCs w:val="20"/>
      <w:lang w:eastAsia="en-GB" w:val="en-IN"/>
    </w:rPr>
  </w:style>
  <w:style w:type="character" w:styleId="TitleChar" w:customStyle="1">
    <w:name w:val="Title Char"/>
    <w:basedOn w:val="DefaultParagraphFont"/>
    <w:link w:val="Title"/>
    <w:uiPriority w:val="10"/>
    <w:rsid w:val="009C05BE"/>
    <w:rPr>
      <w:b w:val="1"/>
      <w:sz w:val="72"/>
      <w:szCs w:val="72"/>
    </w:rPr>
  </w:style>
  <w:style w:type="character" w:styleId="SubtitleChar" w:customStyle="1">
    <w:name w:val="Subtitle Char"/>
    <w:basedOn w:val="DefaultParagraphFont"/>
    <w:link w:val="Subtitle"/>
    <w:uiPriority w:val="11"/>
    <w:rsid w:val="009C05BE"/>
    <w:rPr>
      <w:rFonts w:ascii="Georgia" w:cs="Georgia" w:eastAsia="Georgia" w:hAnsi="Georgia"/>
      <w:i w:val="1"/>
      <w:color w:val="666666"/>
      <w:sz w:val="48"/>
      <w:szCs w:val="48"/>
    </w:rPr>
  </w:style>
  <w:style w:type="paragraph" w:styleId="Quote">
    <w:name w:val="Quote"/>
    <w:basedOn w:val="Normal"/>
    <w:next w:val="Normal"/>
    <w:link w:val="QuoteChar"/>
    <w:uiPriority w:val="29"/>
    <w:qFormat w:val="1"/>
    <w:rsid w:val="009C05BE"/>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9C05BE"/>
    <w:rPr>
      <w:i w:val="1"/>
      <w:iCs w:val="1"/>
      <w:color w:val="404040" w:themeColor="text1" w:themeTint="0000BF"/>
      <w:lang w:eastAsia="en-GB" w:val="en-IN"/>
    </w:rPr>
  </w:style>
  <w:style w:type="character" w:styleId="IntenseEmphasis">
    <w:name w:val="Intense Emphasis"/>
    <w:basedOn w:val="DefaultParagraphFont"/>
    <w:uiPriority w:val="21"/>
    <w:qFormat w:val="1"/>
    <w:rsid w:val="009C05BE"/>
    <w:rPr>
      <w:i w:val="1"/>
      <w:iCs w:val="1"/>
      <w:color w:val="365f91" w:themeColor="accent1" w:themeShade="0000BF"/>
    </w:rPr>
  </w:style>
  <w:style w:type="paragraph" w:styleId="IntenseQuote">
    <w:name w:val="Intense Quote"/>
    <w:basedOn w:val="Normal"/>
    <w:next w:val="Normal"/>
    <w:link w:val="IntenseQuoteChar"/>
    <w:uiPriority w:val="30"/>
    <w:qFormat w:val="1"/>
    <w:rsid w:val="009C05BE"/>
    <w:pPr>
      <w:pBdr>
        <w:top w:color="365f91" w:space="10" w:sz="4" w:themeColor="accent1" w:themeShade="0000BF" w:val="single"/>
        <w:bottom w:color="365f91" w:space="10" w:sz="4" w:themeColor="accent1" w:themeShade="0000BF" w:val="single"/>
      </w:pBdr>
      <w:spacing w:after="360" w:before="360"/>
      <w:ind w:left="864" w:right="864"/>
      <w:jc w:val="center"/>
    </w:pPr>
    <w:rPr>
      <w:i w:val="1"/>
      <w:iCs w:val="1"/>
      <w:color w:val="365f91" w:themeColor="accent1" w:themeShade="0000BF"/>
    </w:rPr>
  </w:style>
  <w:style w:type="character" w:styleId="IntenseQuoteChar" w:customStyle="1">
    <w:name w:val="Intense Quote Char"/>
    <w:basedOn w:val="DefaultParagraphFont"/>
    <w:link w:val="IntenseQuote"/>
    <w:uiPriority w:val="30"/>
    <w:rsid w:val="009C05BE"/>
    <w:rPr>
      <w:i w:val="1"/>
      <w:iCs w:val="1"/>
      <w:color w:val="365f91" w:themeColor="accent1" w:themeShade="0000BF"/>
      <w:lang w:eastAsia="en-GB" w:val="en-IN"/>
    </w:rPr>
  </w:style>
  <w:style w:type="character" w:styleId="IntenseReference">
    <w:name w:val="Intense Reference"/>
    <w:basedOn w:val="DefaultParagraphFont"/>
    <w:uiPriority w:val="32"/>
    <w:qFormat w:val="1"/>
    <w:rsid w:val="009C05BE"/>
    <w:rPr>
      <w:b w:val="1"/>
      <w:bCs w:val="1"/>
      <w:smallCaps w:val="1"/>
      <w:color w:val="365f91" w:themeColor="accent1" w:themeShade="0000BF"/>
      <w:spacing w:val="5"/>
    </w:rPr>
  </w:style>
  <w:style w:type="paragraph" w:styleId="msonormal0" w:customStyle="1">
    <w:name w:val="msonormal"/>
    <w:basedOn w:val="Normal"/>
    <w:rsid w:val="009C05BE"/>
    <w:pPr>
      <w:spacing w:after="100" w:afterAutospacing="1" w:before="100" w:beforeAutospacing="1"/>
    </w:pPr>
  </w:style>
  <w:style w:type="paragraph" w:styleId="xl65" w:customStyle="1">
    <w:name w:val="xl65"/>
    <w:basedOn w:val="Normal"/>
    <w:rsid w:val="009C05BE"/>
    <w:pPr>
      <w:pBdr>
        <w:top w:color="auto" w:space="0" w:sz="4" w:val="single"/>
        <w:left w:color="auto" w:space="0" w:sz="4" w:val="single"/>
        <w:bottom w:color="auto" w:space="0" w:sz="4" w:val="single"/>
        <w:right w:color="auto" w:space="0" w:sz="4" w:val="single"/>
      </w:pBdr>
      <w:spacing w:after="100" w:afterAutospacing="1" w:before="100" w:beforeAutospacing="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007/s10462-024-10873-5" TargetMode="External"/><Relationship Id="rId190" Type="http://schemas.openxmlformats.org/officeDocument/2006/relationships/hyperlink" Target="https://doi.org/10.1186/s12967-023-03988-w" TargetMode="External"/><Relationship Id="rId42" Type="http://schemas.openxmlformats.org/officeDocument/2006/relationships/hyperlink" Target="https://doi.org/10.1016/j.jretconser.2021.102585" TargetMode="External"/><Relationship Id="rId41" Type="http://schemas.openxmlformats.org/officeDocument/2006/relationships/hyperlink" Target="https://doi.org/10.1097/ANS.0000000000000263" TargetMode="External"/><Relationship Id="rId44" Type="http://schemas.openxmlformats.org/officeDocument/2006/relationships/hyperlink" Target="https://doi.org/10.5664/jcsm.8356" TargetMode="External"/><Relationship Id="rId194" Type="http://schemas.openxmlformats.org/officeDocument/2006/relationships/hyperlink" Target="https://doi.org/10.29328/journal.jnpr.1001061" TargetMode="External"/><Relationship Id="rId43" Type="http://schemas.openxmlformats.org/officeDocument/2006/relationships/hyperlink" Target="https://doi.org/10.1186/s12910-022-00758-z" TargetMode="External"/><Relationship Id="rId193" Type="http://schemas.openxmlformats.org/officeDocument/2006/relationships/hyperlink" Target="https://doi.org/10.1016/j.ijinfomgt.2021.102310" TargetMode="External"/><Relationship Id="rId46" Type="http://schemas.openxmlformats.org/officeDocument/2006/relationships/hyperlink" Target="https://doi.org/10.1016/j.sintl.2023.100257" TargetMode="External"/><Relationship Id="rId192" Type="http://schemas.openxmlformats.org/officeDocument/2006/relationships/hyperlink" Target="https://doi.org/10.1007/s00403-006-0660-6" TargetMode="External"/><Relationship Id="rId45" Type="http://schemas.openxmlformats.org/officeDocument/2006/relationships/hyperlink" Target="https://doi.org/10.1016/j.techfore.2023.122588" TargetMode="External"/><Relationship Id="rId191" Type="http://schemas.openxmlformats.org/officeDocument/2006/relationships/hyperlink" Target="https://doi.org/10.3389/fcvm.2024.1432876" TargetMode="External"/><Relationship Id="rId48" Type="http://schemas.openxmlformats.org/officeDocument/2006/relationships/hyperlink" Target="https://doi.org/10.1108/ITP-01-2021-0049" TargetMode="External"/><Relationship Id="rId187" Type="http://schemas.openxmlformats.org/officeDocument/2006/relationships/hyperlink" Target="https://www.census.gov/prod/2014pubs/p25-1140.pdf" TargetMode="External"/><Relationship Id="rId47" Type="http://schemas.openxmlformats.org/officeDocument/2006/relationships/hyperlink" Target="https://doi.org/10.4103/0970-0358.101309" TargetMode="External"/><Relationship Id="rId186" Type="http://schemas.openxmlformats.org/officeDocument/2006/relationships/hyperlink" Target="https://doi.org/10.3390/medicina57090864" TargetMode="External"/><Relationship Id="rId185" Type="http://schemas.openxmlformats.org/officeDocument/2006/relationships/hyperlink" Target="https://doi.org/10.1016/j.imu.2023.101373" TargetMode="External"/><Relationship Id="rId49" Type="http://schemas.openxmlformats.org/officeDocument/2006/relationships/hyperlink" Target="https://biohackersupply.com/collections/hyperbaric-chambers-for-sale?srsltid=AfmBOopOFsQVh-dWLESKNOsxO1rr7o4cHkKi68hP9bd9lWonSalSp63E" TargetMode="External"/><Relationship Id="rId184" Type="http://schemas.openxmlformats.org/officeDocument/2006/relationships/hyperlink" Target="https://doi.org/10.12688/f1000research.137009.1" TargetMode="External"/><Relationship Id="rId189" Type="http://schemas.openxmlformats.org/officeDocument/2006/relationships/hyperlink" Target="https://doi.org/10.1016/j.appet.2021.105829" TargetMode="External"/><Relationship Id="rId188" Type="http://schemas.openxmlformats.org/officeDocument/2006/relationships/hyperlink" Target="https://doi.org/10.30574/wjarr.2024.22.1.1331" TargetMode="External"/><Relationship Id="rId31" Type="http://schemas.openxmlformats.org/officeDocument/2006/relationships/hyperlink" Target="https://doi.org/10.13106/jafeb.2020.vol7.no10.481" TargetMode="External"/><Relationship Id="rId30" Type="http://schemas.openxmlformats.org/officeDocument/2006/relationships/hyperlink" Target="https://doi.org/10.3390/ijerph20021347" TargetMode="External"/><Relationship Id="rId33" Type="http://schemas.openxmlformats.org/officeDocument/2006/relationships/hyperlink" Target="https://doi.org/10.3389/fneur.2024.1360311" TargetMode="External"/><Relationship Id="rId183" Type="http://schemas.openxmlformats.org/officeDocument/2006/relationships/hyperlink" Target="https://doi.org/10.1016/j.clineuro.2024.108689" TargetMode="External"/><Relationship Id="rId32" Type="http://schemas.openxmlformats.org/officeDocument/2006/relationships/hyperlink" Target="https://doi.org/10.1016/j.jnca.2023.103633" TargetMode="External"/><Relationship Id="rId182" Type="http://schemas.openxmlformats.org/officeDocument/2006/relationships/hyperlink" Target="https://doi.org/10.1016/B978-0-12-803468-2.00010-2" TargetMode="External"/><Relationship Id="rId35" Type="http://schemas.openxmlformats.org/officeDocument/2006/relationships/hyperlink" Target="https://doi.org/10.1111/j.1525-1497.2006.00390.x" TargetMode="External"/><Relationship Id="rId181" Type="http://schemas.openxmlformats.org/officeDocument/2006/relationships/hyperlink" Target="https://doi.org/10.14336/AD.2021.0229" TargetMode="External"/><Relationship Id="rId34" Type="http://schemas.openxmlformats.org/officeDocument/2006/relationships/hyperlink" Target="https://support.apple.com/en-in/120358#:~:text=Blood%20Oxygen%20app%20measurements%20are,at%20least%2018%20years%20old" TargetMode="External"/><Relationship Id="rId180" Type="http://schemas.openxmlformats.org/officeDocument/2006/relationships/hyperlink" Target="https://www.simplypsychology.org/theory-of-reasoned-action.html" TargetMode="External"/><Relationship Id="rId37" Type="http://schemas.openxmlformats.org/officeDocument/2006/relationships/hyperlink" Target="https://doi.org/10.1016/j.colsurfb.2010.11.019" TargetMode="External"/><Relationship Id="rId176" Type="http://schemas.openxmlformats.org/officeDocument/2006/relationships/hyperlink" Target="https://doi.org/10.1016/j.cmpb.2021.106541" TargetMode="External"/><Relationship Id="rId36" Type="http://schemas.openxmlformats.org/officeDocument/2006/relationships/hyperlink" Target="https://doi.org/10.1016/j.chbr.2024.100396" TargetMode="External"/><Relationship Id="rId175" Type="http://schemas.openxmlformats.org/officeDocument/2006/relationships/hyperlink" Target="https://doi.org/10.1080/23311975.2024.2329375" TargetMode="External"/><Relationship Id="rId39" Type="http://schemas.openxmlformats.org/officeDocument/2006/relationships/hyperlink" Target="https://doi.org/10.1056/nejmp1109283" TargetMode="External"/><Relationship Id="rId174" Type="http://schemas.openxmlformats.org/officeDocument/2006/relationships/hyperlink" Target="https://doi.org/10.4018/978-1-6684-8337-4.ch007" TargetMode="External"/><Relationship Id="rId38" Type="http://schemas.openxmlformats.org/officeDocument/2006/relationships/hyperlink" Target="https://doi.org/10.7861/fhj.2021-0095" TargetMode="External"/><Relationship Id="rId173" Type="http://schemas.openxmlformats.org/officeDocument/2006/relationships/hyperlink" Target="https://doi.org/10.1101/2025.04.13.25325766" TargetMode="External"/><Relationship Id="rId179" Type="http://schemas.openxmlformats.org/officeDocument/2006/relationships/hyperlink" Target="https://doi.org/10.1016/j.mcpdig.2023.04.005" TargetMode="External"/><Relationship Id="rId178" Type="http://schemas.openxmlformats.org/officeDocument/2006/relationships/hyperlink" Target="https://doi.org/10.2196/52740" TargetMode="External"/><Relationship Id="rId177" Type="http://schemas.openxmlformats.org/officeDocument/2006/relationships/hyperlink" Target="https://doi.org/10.2196/52740" TargetMode="External"/><Relationship Id="rId20" Type="http://schemas.openxmlformats.org/officeDocument/2006/relationships/hyperlink" Target="https://doi.org/10.1080/13696998.2023.2249757" TargetMode="External"/><Relationship Id="rId22" Type="http://schemas.openxmlformats.org/officeDocument/2006/relationships/hyperlink" Target="https://doi.org/10.5171/2022.628490" TargetMode="External"/><Relationship Id="rId21" Type="http://schemas.openxmlformats.org/officeDocument/2006/relationships/hyperlink" Target="https://doi.org/10.1016/j.chbr.2024.100459" TargetMode="External"/><Relationship Id="rId24" Type="http://schemas.openxmlformats.org/officeDocument/2006/relationships/hyperlink" Target="https://doi.org/10.3390/cancers13143484" TargetMode="External"/><Relationship Id="rId23" Type="http://schemas.openxmlformats.org/officeDocument/2006/relationships/hyperlink" Target="https://doi.org/10.3390/pharmaceutics15082075" TargetMode="External"/><Relationship Id="rId26" Type="http://schemas.openxmlformats.org/officeDocument/2006/relationships/hyperlink" Target="https://doi.org/10.1007/s00421-022-04915-5" TargetMode="External"/><Relationship Id="rId25" Type="http://schemas.openxmlformats.org/officeDocument/2006/relationships/hyperlink" Target="https://doi.org/10.1038/s41746-025-01510-8" TargetMode="External"/><Relationship Id="rId28" Type="http://schemas.openxmlformats.org/officeDocument/2006/relationships/hyperlink" Target="https://doi.org/10.3390/app112210537" TargetMode="External"/><Relationship Id="rId27" Type="http://schemas.openxmlformats.org/officeDocument/2006/relationships/hyperlink" Target="https://doi.org/10.7759/cureus.43595" TargetMode="External"/><Relationship Id="rId29" Type="http://schemas.openxmlformats.org/officeDocument/2006/relationships/hyperlink" Target="https://doi.org/10.1016/j.joitmc.2023.100070" TargetMode="External"/><Relationship Id="rId11" Type="http://schemas.openxmlformats.org/officeDocument/2006/relationships/image" Target="media/image5.png"/><Relationship Id="rId10" Type="http://schemas.openxmlformats.org/officeDocument/2006/relationships/image" Target="media/image2.png"/><Relationship Id="rId13" Type="http://schemas.openxmlformats.org/officeDocument/2006/relationships/image" Target="media/image4.png"/><Relationship Id="rId12" Type="http://schemas.openxmlformats.org/officeDocument/2006/relationships/hyperlink" Target="https://reenergized.com/reenergized-health-wellness-likert-test/" TargetMode="External"/><Relationship Id="rId15" Type="http://schemas.openxmlformats.org/officeDocument/2006/relationships/hyperlink" Target="https://doi.org/10.53022/oarjms.2024.7.1.0019" TargetMode="External"/><Relationship Id="rId198" Type="http://schemas.openxmlformats.org/officeDocument/2006/relationships/hyperlink" Target="https://www.ncbi.nlm.nih.gov/books/NBK537956/" TargetMode="External"/><Relationship Id="rId14" Type="http://schemas.openxmlformats.org/officeDocument/2006/relationships/hyperlink" Target="https://adapt.digital/insights/accessibility-and-user-experience-in-healthcare" TargetMode="External"/><Relationship Id="rId197" Type="http://schemas.openxmlformats.org/officeDocument/2006/relationships/hyperlink" Target="https://doi.org/10.1001/jama.2014.14781" TargetMode="External"/><Relationship Id="rId17" Type="http://schemas.openxmlformats.org/officeDocument/2006/relationships/hyperlink" Target="https://doi.org/10.3390/joitmc6030081" TargetMode="External"/><Relationship Id="rId196" Type="http://schemas.openxmlformats.org/officeDocument/2006/relationships/hyperlink" Target="https://doi.org/10.1111/jocd.16228" TargetMode="External"/><Relationship Id="rId16" Type="http://schemas.openxmlformats.org/officeDocument/2006/relationships/hyperlink" Target="https://faculty.washington.edu/harryb/courses/INFO310/Agarwal.pdf" TargetMode="External"/><Relationship Id="rId195" Type="http://schemas.openxmlformats.org/officeDocument/2006/relationships/hyperlink" Target="https://doi.org/10.2196/55176" TargetMode="External"/><Relationship Id="rId19" Type="http://schemas.openxmlformats.org/officeDocument/2006/relationships/hyperlink" Target="https://doi.org/10.1002/hbe2.195" TargetMode="External"/><Relationship Id="rId18" Type="http://schemas.openxmlformats.org/officeDocument/2006/relationships/hyperlink" Target="https://doi.org/10.1111/j.1559-1816.2002.tb00236.x" TargetMode="External"/><Relationship Id="rId199" Type="http://schemas.openxmlformats.org/officeDocument/2006/relationships/hyperlink" Target="https://doi.org/10.70135/seejph.vi.3831" TargetMode="External"/><Relationship Id="rId84" Type="http://schemas.openxmlformats.org/officeDocument/2006/relationships/hyperlink" Target="https://doi.org/10.55248/gengpi.5.1224.3437" TargetMode="External"/><Relationship Id="rId83" Type="http://schemas.openxmlformats.org/officeDocument/2006/relationships/hyperlink" Target="https://doi.org/10.1016/j.cps.2012.05.001" TargetMode="External"/><Relationship Id="rId86" Type="http://schemas.openxmlformats.org/officeDocument/2006/relationships/hyperlink" Target="https://doi.org/10.1377/hlthaff.2009.0888" TargetMode="External"/><Relationship Id="rId85" Type="http://schemas.openxmlformats.org/officeDocument/2006/relationships/hyperlink" Target="https://doi.org/10.1093/jbcr/irac027" TargetMode="External"/><Relationship Id="rId88" Type="http://schemas.openxmlformats.org/officeDocument/2006/relationships/hyperlink" Target="https://doi.org/10.1155/hbe2/4734288" TargetMode="External"/><Relationship Id="rId150" Type="http://schemas.openxmlformats.org/officeDocument/2006/relationships/hyperlink" Target="https://doi.org/10.1021/acsptsci.2c00012" TargetMode="External"/><Relationship Id="rId271" Type="http://schemas.openxmlformats.org/officeDocument/2006/relationships/hyperlink" Target="https://doi.org/10.1117/1.JBO.23.12.120901" TargetMode="External"/><Relationship Id="rId87" Type="http://schemas.openxmlformats.org/officeDocument/2006/relationships/hyperlink" Target="https://doi.org/10.1080/22423982.2022.2111789" TargetMode="External"/><Relationship Id="rId270" Type="http://schemas.openxmlformats.org/officeDocument/2006/relationships/hyperlink" Target="https://doi.org/10.1016/j.techsoc.2023.102321" TargetMode="External"/><Relationship Id="rId89" Type="http://schemas.openxmlformats.org/officeDocument/2006/relationships/hyperlink" Target="https://eur-lex.europa.eu/legal-content/EN/TXT/PDF/?uri=CELEX:32017R0745" TargetMode="External"/><Relationship Id="rId80" Type="http://schemas.openxmlformats.org/officeDocument/2006/relationships/hyperlink" Target="https://doi.org/10.1080/17461391.2018.1551937" TargetMode="External"/><Relationship Id="rId82" Type="http://schemas.openxmlformats.org/officeDocument/2006/relationships/hyperlink" Target="https://doi.org/10.1016/j.jjimei.2023.100186" TargetMode="External"/><Relationship Id="rId81" Type="http://schemas.openxmlformats.org/officeDocument/2006/relationships/hyperlink" Target="https://doi.org/10.3390/s2107253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oi.org/10.1016/j.jik.2023.100365" TargetMode="External"/><Relationship Id="rId4" Type="http://schemas.openxmlformats.org/officeDocument/2006/relationships/numbering" Target="numbering.xml"/><Relationship Id="rId148" Type="http://schemas.openxmlformats.org/officeDocument/2006/relationships/hyperlink" Target="https://doi.org/10.2196/58936" TargetMode="External"/><Relationship Id="rId269" Type="http://schemas.openxmlformats.org/officeDocument/2006/relationships/hyperlink" Target="https://doi.org/10.3389/fpubh.2023.1074364" TargetMode="External"/><Relationship Id="rId9" Type="http://schemas.openxmlformats.org/officeDocument/2006/relationships/image" Target="media/image3.png"/><Relationship Id="rId143" Type="http://schemas.openxmlformats.org/officeDocument/2006/relationships/hyperlink" Target="https://doi.org/10.1016/j.tra.2022.08.022" TargetMode="External"/><Relationship Id="rId264" Type="http://schemas.openxmlformats.org/officeDocument/2006/relationships/hyperlink" Target="https://doi.org/10.1016/j.multra.2024.100169" TargetMode="External"/><Relationship Id="rId142" Type="http://schemas.openxmlformats.org/officeDocument/2006/relationships/hyperlink" Target="https://doi.org/10.1016/j.jphotobiol.2024.112990" TargetMode="External"/><Relationship Id="rId263" Type="http://schemas.openxmlformats.org/officeDocument/2006/relationships/hyperlink" Target="https://doi.org/10.3390/biology12020211" TargetMode="External"/><Relationship Id="rId141" Type="http://schemas.openxmlformats.org/officeDocument/2006/relationships/hyperlink" Target="https://doi.org/10.2196/35684" TargetMode="External"/><Relationship Id="rId262" Type="http://schemas.openxmlformats.org/officeDocument/2006/relationships/hyperlink" Target="https://doi.org/10.1007/s44373-025-00015-z" TargetMode="External"/><Relationship Id="rId140" Type="http://schemas.openxmlformats.org/officeDocument/2006/relationships/hyperlink" Target="https://doi.org/10.2147/JMDH.S284973" TargetMode="External"/><Relationship Id="rId261" Type="http://schemas.openxmlformats.org/officeDocument/2006/relationships/hyperlink" Target="https://doi.org/10.3389/fphys.2023.1006512" TargetMode="External"/><Relationship Id="rId5" Type="http://schemas.openxmlformats.org/officeDocument/2006/relationships/styles" Target="styles.xml"/><Relationship Id="rId147" Type="http://schemas.openxmlformats.org/officeDocument/2006/relationships/hyperlink" Target="https://theoxfordcenter.com/news/hard-vs-soft-chambers-hyperbaric-oxygen-therapy-chambers/" TargetMode="External"/><Relationship Id="rId268" Type="http://schemas.openxmlformats.org/officeDocument/2006/relationships/hyperlink" Target="https://doi.org/10.3389/fpubh.2024.1435329" TargetMode="External"/><Relationship Id="rId6" Type="http://schemas.openxmlformats.org/officeDocument/2006/relationships/customXml" Target="../customXML/item1.xml"/><Relationship Id="rId146" Type="http://schemas.openxmlformats.org/officeDocument/2006/relationships/hyperlink" Target="https://www.herbalife.com/en-in/wellness-resources/articles/entrepreneurship-in-the-health-and-wellness-space" TargetMode="External"/><Relationship Id="rId267" Type="http://schemas.openxmlformats.org/officeDocument/2006/relationships/hyperlink" Target="https://doi.org/10.1016/j.jretconser.2021.102655" TargetMode="External"/><Relationship Id="rId7" Type="http://schemas.openxmlformats.org/officeDocument/2006/relationships/image" Target="media/image1.png"/><Relationship Id="rId145" Type="http://schemas.openxmlformats.org/officeDocument/2006/relationships/hyperlink" Target="https://doi.org/10.33546/bnj.3529" TargetMode="External"/><Relationship Id="rId266" Type="http://schemas.openxmlformats.org/officeDocument/2006/relationships/hyperlink" Target="https://doi.org/10.1111/j.1540-5414.2006.00132.x" TargetMode="External"/><Relationship Id="rId8" Type="http://schemas.openxmlformats.org/officeDocument/2006/relationships/image" Target="media/image6.png"/><Relationship Id="rId144" Type="http://schemas.openxmlformats.org/officeDocument/2006/relationships/hyperlink" Target="https://doi.org/10.1108/02652321211236923" TargetMode="External"/><Relationship Id="rId265" Type="http://schemas.openxmlformats.org/officeDocument/2006/relationships/hyperlink" Target="https://doi.org/10.3389/fpubh.2023.1196596" TargetMode="External"/><Relationship Id="rId73" Type="http://schemas.openxmlformats.org/officeDocument/2006/relationships/hyperlink" Target="https://doi.org/10.1109/JSTQE.2016.2561201" TargetMode="External"/><Relationship Id="rId72" Type="http://schemas.openxmlformats.org/officeDocument/2006/relationships/hyperlink" Target="https://doi.org/10.1287/mnsc.35.8.982" TargetMode="External"/><Relationship Id="rId75" Type="http://schemas.openxmlformats.org/officeDocument/2006/relationships/hyperlink" Target="https://www.delveinsight.com/blog/cryotherapy-applications-and-market-outlook" TargetMode="External"/><Relationship Id="rId74" Type="http://schemas.openxmlformats.org/officeDocument/2006/relationships/hyperlink" Target="https://doi.org/10.1016/j.jik.2023.100016" TargetMode="External"/><Relationship Id="rId77" Type="http://schemas.openxmlformats.org/officeDocument/2006/relationships/hyperlink" Target="https://doi.org/10.1016/j.ijmedinf.2020.104164" TargetMode="External"/><Relationship Id="rId260" Type="http://schemas.openxmlformats.org/officeDocument/2006/relationships/hyperlink" Target="https://doi.org/10.1089/pho.2013.3616" TargetMode="External"/><Relationship Id="rId76" Type="http://schemas.openxmlformats.org/officeDocument/2006/relationships/hyperlink" Target="https://doi.org/10.1057/s41270-023-00271-1" TargetMode="External"/><Relationship Id="rId79" Type="http://schemas.openxmlformats.org/officeDocument/2006/relationships/hyperlink" Target="https://doi.org/10.3390/jcm9061724" TargetMode="External"/><Relationship Id="rId78" Type="http://schemas.openxmlformats.org/officeDocument/2006/relationships/hyperlink" Target="https://doi.org/10.1155/2022/3312840" TargetMode="External"/><Relationship Id="rId71" Type="http://schemas.openxmlformats.org/officeDocument/2006/relationships/hyperlink" Target="https://doi.org/10.1006/imms.1993.1022" TargetMode="External"/><Relationship Id="rId70" Type="http://schemas.openxmlformats.org/officeDocument/2006/relationships/hyperlink" Target="https://doi.org/10.2307/249008" TargetMode="External"/><Relationship Id="rId139" Type="http://schemas.openxmlformats.org/officeDocument/2006/relationships/hyperlink" Target="https://doi.org/10.1002/asi.23069" TargetMode="External"/><Relationship Id="rId138" Type="http://schemas.openxmlformats.org/officeDocument/2006/relationships/hyperlink" Target="https://doi.org/10.3390/healthcare10101940" TargetMode="External"/><Relationship Id="rId259" Type="http://schemas.openxmlformats.org/officeDocument/2006/relationships/hyperlink" Target="https://doi.org/10.1016/j.jbusres.2015.12.032" TargetMode="External"/><Relationship Id="rId137" Type="http://schemas.openxmlformats.org/officeDocument/2006/relationships/hyperlink" Target="https://doi.org/10.3390/healthcare10101940" TargetMode="External"/><Relationship Id="rId258" Type="http://schemas.openxmlformats.org/officeDocument/2006/relationships/hyperlink" Target="https://doi.org/10.1016/j.jpain.2007.06.005" TargetMode="External"/><Relationship Id="rId132" Type="http://schemas.openxmlformats.org/officeDocument/2006/relationships/hyperlink" Target="https://doi.org/10.1016/j.ijinfomgt.2023.102731" TargetMode="External"/><Relationship Id="rId253" Type="http://schemas.openxmlformats.org/officeDocument/2006/relationships/hyperlink" Target="https://doi.org/10.3390/app14114746" TargetMode="External"/><Relationship Id="rId131" Type="http://schemas.openxmlformats.org/officeDocument/2006/relationships/hyperlink" Target="https://www.techaheadcorp.com/blog/personalized-health-monitoring-app-using-ai-and-predictive-analytics/" TargetMode="External"/><Relationship Id="rId252" Type="http://schemas.openxmlformats.org/officeDocument/2006/relationships/hyperlink" Target="https://doi.org/10.1177/20552076241302016" TargetMode="External"/><Relationship Id="rId130" Type="http://schemas.openxmlformats.org/officeDocument/2006/relationships/hyperlink" Target="https://doi.org/10.1016/j.hlpt.2022.100663" TargetMode="External"/><Relationship Id="rId251" Type="http://schemas.openxmlformats.org/officeDocument/2006/relationships/hyperlink" Target="https://doi.org/10.1016/j.heliyon.2023.e18349" TargetMode="External"/><Relationship Id="rId250" Type="http://schemas.openxmlformats.org/officeDocument/2006/relationships/hyperlink" Target="https://doi.org/10.1177/0743915620947359" TargetMode="External"/><Relationship Id="rId136" Type="http://schemas.openxmlformats.org/officeDocument/2006/relationships/hyperlink" Target="https://doi.org/10.1007/BF02289343" TargetMode="External"/><Relationship Id="rId257" Type="http://schemas.openxmlformats.org/officeDocument/2006/relationships/hyperlink" Target="https://www.theverge.com/2020/10/7/21504023/apple-watch-ekg-blood-oxygen-fda-clearance" TargetMode="External"/><Relationship Id="rId135" Type="http://schemas.openxmlformats.org/officeDocument/2006/relationships/hyperlink" Target="https://doi.org/10.1016/j.invent.2016.10.002" TargetMode="External"/><Relationship Id="rId256" Type="http://schemas.openxmlformats.org/officeDocument/2006/relationships/hyperlink" Target="https://doi.org/10.1097/00004045-200605000-00006" TargetMode="External"/><Relationship Id="rId134" Type="http://schemas.openxmlformats.org/officeDocument/2006/relationships/hyperlink" Target="https://doi.org/10.1016/j.heliyon.2024.e25962" TargetMode="External"/><Relationship Id="rId255" Type="http://schemas.openxmlformats.org/officeDocument/2006/relationships/hyperlink" Target="https://doi.org/10.3945/ajcn.114.089284" TargetMode="External"/><Relationship Id="rId133" Type="http://schemas.openxmlformats.org/officeDocument/2006/relationships/hyperlink" Target="https://doi.org/10.1016/j.infoh.2024.05.001" TargetMode="External"/><Relationship Id="rId254" Type="http://schemas.openxmlformats.org/officeDocument/2006/relationships/hyperlink" Target="https://doi.org/10.1007/s12525-022-00593-5" TargetMode="External"/><Relationship Id="rId62" Type="http://schemas.openxmlformats.org/officeDocument/2006/relationships/hyperlink" Target="http://www.cdc.gov/nchs/data/hus/hus15.pdf#058" TargetMode="External"/><Relationship Id="rId61" Type="http://schemas.openxmlformats.org/officeDocument/2006/relationships/hyperlink" Target="https://www.cdc.gov/phlp/php/resources/health-insurance-portability-and-accountability-act-of-1996-hipaa.html" TargetMode="External"/><Relationship Id="rId64" Type="http://schemas.openxmlformats.org/officeDocument/2006/relationships/hyperlink" Target="https://nogood.io/2025/01/13/whoop-marketing-strategy/" TargetMode="External"/><Relationship Id="rId63" Type="http://schemas.openxmlformats.org/officeDocument/2006/relationships/hyperlink" Target="https://doi.org/10.1016/j.hlpt.2023.100773" TargetMode="External"/><Relationship Id="rId66" Type="http://schemas.openxmlformats.org/officeDocument/2006/relationships/hyperlink" Target="https://www.healthcareitnews.com/news/apple-unveils-watch-series-4-fda-approved-ecg" TargetMode="External"/><Relationship Id="rId172" Type="http://schemas.openxmlformats.org/officeDocument/2006/relationships/hyperlink" Target="https://doi.org/10.1016/j.pragma.2013.07.012" TargetMode="External"/><Relationship Id="rId65" Type="http://schemas.openxmlformats.org/officeDocument/2006/relationships/hyperlink" Target="https://doi.org/10.1016/S2589-7500(20)30057-1" TargetMode="External"/><Relationship Id="rId171" Type="http://schemas.openxmlformats.org/officeDocument/2006/relationships/hyperlink" Target="https://doi.org/10.1177/21582440241234230" TargetMode="External"/><Relationship Id="rId68" Type="http://schemas.openxmlformats.org/officeDocument/2006/relationships/hyperlink" Target="https://doi.org/10.1007/s00467-014-2968-3" TargetMode="External"/><Relationship Id="rId170" Type="http://schemas.openxmlformats.org/officeDocument/2006/relationships/hyperlink" Target="https://doi.org/10.1016/j.heliyon.2024.e26297" TargetMode="External"/><Relationship Id="rId67" Type="http://schemas.openxmlformats.org/officeDocument/2006/relationships/hyperlink" Target="https://nysstlc.syr.edu/general-wellness-v-medical-device-considerations/" TargetMode="External"/><Relationship Id="rId60" Type="http://schemas.openxmlformats.org/officeDocument/2006/relationships/hyperlink" Target="https://doi.org/10.1038/s41746-025-01510-8" TargetMode="External"/><Relationship Id="rId165" Type="http://schemas.openxmlformats.org/officeDocument/2006/relationships/hyperlink" Target="https://doi.org/10.1016/j.psychsport.2022.102248" TargetMode="External"/><Relationship Id="rId69" Type="http://schemas.openxmlformats.org/officeDocument/2006/relationships/hyperlink" Target="https://doi.org/10.1006/ijhc.1996.0040" TargetMode="External"/><Relationship Id="rId164" Type="http://schemas.openxmlformats.org/officeDocument/2006/relationships/hyperlink" Target="https://doi.org/10.1038/s41746-025-01554-w" TargetMode="External"/><Relationship Id="rId163" Type="http://schemas.openxmlformats.org/officeDocument/2006/relationships/hyperlink" Target="https://doi.org/10.1016/j.jaad.2023.10.073" TargetMode="External"/><Relationship Id="rId162" Type="http://schemas.openxmlformats.org/officeDocument/2006/relationships/hyperlink" Target="https://doi.org/10.4018/9781591404743.ch006.ch000" TargetMode="External"/><Relationship Id="rId169" Type="http://schemas.openxmlformats.org/officeDocument/2006/relationships/hyperlink" Target="https://doi.org/10.1016/j.heliyon.2024.e26297" TargetMode="External"/><Relationship Id="rId168" Type="http://schemas.openxmlformats.org/officeDocument/2006/relationships/hyperlink" Target="https://www.thehindu.com/sci-tech/health/biohacking-race-to-become-superhuman-jag-chima-bryan-johnson-blueprint/article68101111.ece" TargetMode="External"/><Relationship Id="rId167" Type="http://schemas.openxmlformats.org/officeDocument/2006/relationships/hyperlink" Target="http://www.medpac.gov/documents/data-book/june-2016-data-book-health-care-spending-and-the-medicare-program.pdf?sfvrsn=0" TargetMode="External"/><Relationship Id="rId166" Type="http://schemas.openxmlformats.org/officeDocument/2006/relationships/hyperlink" Target="https://doi.org/10.1016/S2589-7500(24)00223-1" TargetMode="External"/><Relationship Id="rId51" Type="http://schemas.openxmlformats.org/officeDocument/2006/relationships/hyperlink" Target="https://doi.org/10.1038/s41746-023-00899-4" TargetMode="External"/><Relationship Id="rId50" Type="http://schemas.openxmlformats.org/officeDocument/2006/relationships/hyperlink" Target="https://doi.org/10.17705/1jais.00719" TargetMode="External"/><Relationship Id="rId53" Type="http://schemas.openxmlformats.org/officeDocument/2006/relationships/hyperlink" Target="https://doi.org/10.3390/s21144937" TargetMode="External"/><Relationship Id="rId52" Type="http://schemas.openxmlformats.org/officeDocument/2006/relationships/hyperlink" Target="https://doi.org/10.1371/journal.pone.0079995" TargetMode="External"/><Relationship Id="rId55" Type="http://schemas.openxmlformats.org/officeDocument/2006/relationships/hyperlink" Target="https://www.healthline.com/health/red-light-therapy" TargetMode="External"/><Relationship Id="rId161" Type="http://schemas.openxmlformats.org/officeDocument/2006/relationships/hyperlink" Target="https://doi.org/10.3389/fphys.2017.00258" TargetMode="External"/><Relationship Id="rId54" Type="http://schemas.openxmlformats.org/officeDocument/2006/relationships/hyperlink" Target="https://www.businesswire.com/news/home/20230221005805/en/Dr.-Rangan-Chatterjee-Joins-Levels-as-Advisor" TargetMode="External"/><Relationship Id="rId160" Type="http://schemas.openxmlformats.org/officeDocument/2006/relationships/hyperlink" Target="https://doi.org/10.1016/S1567-4223(03)00025-5" TargetMode="External"/><Relationship Id="rId57" Type="http://schemas.openxmlformats.org/officeDocument/2006/relationships/hyperlink" Target="https://doi.org/10.1371/journal.pdig.0000104" TargetMode="External"/><Relationship Id="rId56" Type="http://schemas.openxmlformats.org/officeDocument/2006/relationships/hyperlink" Target="https://doi.org/10.1016/j.techfore.2024.123247" TargetMode="External"/><Relationship Id="rId159" Type="http://schemas.openxmlformats.org/officeDocument/2006/relationships/hyperlink" Target="https://doi.org/10.3389/fpsyg.2024.1356999" TargetMode="External"/><Relationship Id="rId59" Type="http://schemas.openxmlformats.org/officeDocument/2006/relationships/hyperlink" Target="https://www.health.harvard.edu/staying-healthy/hyperbaric-oxygen-therapy-evidence-based-uses-and-unproven-claims" TargetMode="External"/><Relationship Id="rId154" Type="http://schemas.openxmlformats.org/officeDocument/2006/relationships/hyperlink" Target="https://doi.org/10.1016/j.caeai.2023.100178" TargetMode="External"/><Relationship Id="rId275" Type="http://schemas.openxmlformats.org/officeDocument/2006/relationships/hyperlink" Target="https://doi.org/10.3390/admsci13020042" TargetMode="External"/><Relationship Id="rId58" Type="http://schemas.openxmlformats.org/officeDocument/2006/relationships/hyperlink" Target="https://doi.org/10.1108/02635570510600000" TargetMode="External"/><Relationship Id="rId153" Type="http://schemas.openxmlformats.org/officeDocument/2006/relationships/hyperlink" Target="https://doi.org/10.1016/j.jjimei.2024.100294" TargetMode="External"/><Relationship Id="rId274" Type="http://schemas.openxmlformats.org/officeDocument/2006/relationships/hyperlink" Target="https://doi.org/10.1016/j.im.2017.03.006" TargetMode="External"/><Relationship Id="rId152" Type="http://schemas.openxmlformats.org/officeDocument/2006/relationships/hyperlink" Target="https://doi.org/10.1007/s00421-021-04683-8" TargetMode="External"/><Relationship Id="rId273" Type="http://schemas.openxmlformats.org/officeDocument/2006/relationships/hyperlink" Target="https://doi.org/10.1016/j.techfore.2024.123599" TargetMode="External"/><Relationship Id="rId151" Type="http://schemas.openxmlformats.org/officeDocument/2006/relationships/hyperlink" Target="https://doi.org/10.1007/s11357-024-01295-w" TargetMode="External"/><Relationship Id="rId272" Type="http://schemas.openxmlformats.org/officeDocument/2006/relationships/hyperlink" Target="https://doi.org/10.3390/ijms241814293" TargetMode="External"/><Relationship Id="rId158" Type="http://schemas.openxmlformats.org/officeDocument/2006/relationships/hyperlink" Target="https://doi.org/10.3390/jcm14092984" TargetMode="External"/><Relationship Id="rId157" Type="http://schemas.openxmlformats.org/officeDocument/2006/relationships/hyperlink" Target="https://doi.org/10.2224/sbp.2013.41.4.587" TargetMode="External"/><Relationship Id="rId156" Type="http://schemas.openxmlformats.org/officeDocument/2006/relationships/hyperlink" Target="https://www.brookings.edu/articles/a-wellness-trust-to-prioritize-disease-prevention/" TargetMode="External"/><Relationship Id="rId277" Type="http://schemas.openxmlformats.org/officeDocument/2006/relationships/footer" Target="footer1.xml"/><Relationship Id="rId155" Type="http://schemas.openxmlformats.org/officeDocument/2006/relationships/hyperlink" Target="https://www.americanprogress.org/article/the-wellness-trust/" TargetMode="External"/><Relationship Id="rId276" Type="http://schemas.openxmlformats.org/officeDocument/2006/relationships/hyperlink" Target="https://doi.org/10.1007/s11606-015-3222-9" TargetMode="External"/><Relationship Id="rId107" Type="http://schemas.openxmlformats.org/officeDocument/2006/relationships/hyperlink" Target="https://doi.org/10.3389/fragi.2024.1368982" TargetMode="External"/><Relationship Id="rId228" Type="http://schemas.openxmlformats.org/officeDocument/2006/relationships/hyperlink" Target="https://doi.org/10.1007/s00421-022-04951-1" TargetMode="External"/><Relationship Id="rId106" Type="http://schemas.openxmlformats.org/officeDocument/2006/relationships/hyperlink" Target="https://doi.org/10.3389/fragi.2024.1368982" TargetMode="External"/><Relationship Id="rId227" Type="http://schemas.openxmlformats.org/officeDocument/2006/relationships/hyperlink" Target="https://doi.org/10.59141/jiss.v5i12.1520" TargetMode="External"/><Relationship Id="rId105" Type="http://schemas.openxmlformats.org/officeDocument/2006/relationships/hyperlink" Target="https://doi.org/10.1016/j.isci.2023.107010" TargetMode="External"/><Relationship Id="rId226" Type="http://schemas.openxmlformats.org/officeDocument/2006/relationships/hyperlink" Target="https://doi.org/10.3390/s23239498" TargetMode="External"/><Relationship Id="rId104" Type="http://schemas.openxmlformats.org/officeDocument/2006/relationships/hyperlink" Target="https://doi.org/10.3390/biom11101520" TargetMode="External"/><Relationship Id="rId225" Type="http://schemas.openxmlformats.org/officeDocument/2006/relationships/hyperlink" Target="https://doi.org/10.1080/02508281.2021.1986653" TargetMode="External"/><Relationship Id="rId109" Type="http://schemas.openxmlformats.org/officeDocument/2006/relationships/hyperlink" Target="https://doi.org/10.1108/EBR-11-2018-0203" TargetMode="External"/><Relationship Id="rId108" Type="http://schemas.openxmlformats.org/officeDocument/2006/relationships/hyperlink" Target="https://doi.org/10.1049/blc2.70008" TargetMode="External"/><Relationship Id="rId229" Type="http://schemas.openxmlformats.org/officeDocument/2006/relationships/hyperlink" Target="https://doi.org/10.12775/QS.2022.08.01.005" TargetMode="External"/><Relationship Id="rId220" Type="http://schemas.openxmlformats.org/officeDocument/2006/relationships/hyperlink" Target="https://doi.org/10.1108/TR-10-2022-0489" TargetMode="External"/><Relationship Id="rId103" Type="http://schemas.openxmlformats.org/officeDocument/2006/relationships/hyperlink" Target="https://www.jstor.org/stable/10.1525/j.ctt1ffjqd8" TargetMode="External"/><Relationship Id="rId224" Type="http://schemas.openxmlformats.org/officeDocument/2006/relationships/hyperlink" Target="https://doi.org/10.1117/1.JBO.29.1.010901" TargetMode="External"/><Relationship Id="rId102" Type="http://schemas.openxmlformats.org/officeDocument/2006/relationships/hyperlink" Target="https://www.wsj.com/articles/digital-health-venture-investment-rises-but-many-deals-have-yet-to-pay-off-d51a312f" TargetMode="External"/><Relationship Id="rId223" Type="http://schemas.openxmlformats.org/officeDocument/2006/relationships/hyperlink" Target="https://doi.org/10.1039/c9pp00089e" TargetMode="External"/><Relationship Id="rId101" Type="http://schemas.openxmlformats.org/officeDocument/2006/relationships/hyperlink" Target="http://williamgodden.com/samplesizeformula.pdf" TargetMode="External"/><Relationship Id="rId222" Type="http://schemas.openxmlformats.org/officeDocument/2006/relationships/hyperlink" Target="https://doi.org/10.4085/1062-6050-49.6.01" TargetMode="External"/><Relationship Id="rId100" Type="http://schemas.openxmlformats.org/officeDocument/2006/relationships/hyperlink" Target="https://doi.org/10.3390/brainsci15030220" TargetMode="External"/><Relationship Id="rId221" Type="http://schemas.openxmlformats.org/officeDocument/2006/relationships/hyperlink" Target="https://doi.org/10.2196/24582" TargetMode="External"/><Relationship Id="rId217" Type="http://schemas.openxmlformats.org/officeDocument/2006/relationships/hyperlink" Target="https://doi.org/10.1016/j.heliyon.2023.e16418" TargetMode="External"/><Relationship Id="rId216" Type="http://schemas.openxmlformats.org/officeDocument/2006/relationships/hyperlink" Target="https://doi.org/10.1145/3571810" TargetMode="External"/><Relationship Id="rId215" Type="http://schemas.openxmlformats.org/officeDocument/2006/relationships/hyperlink" Target="https://doi.org/10.1016/S2589-7500(24)00242-5" TargetMode="External"/><Relationship Id="rId214" Type="http://schemas.openxmlformats.org/officeDocument/2006/relationships/hyperlink" Target="https://doi.org/10.1177/20552076231225133" TargetMode="External"/><Relationship Id="rId219" Type="http://schemas.openxmlformats.org/officeDocument/2006/relationships/hyperlink" Target="https://doi.org/10.1016/j.ecolecon.2021.107155" TargetMode="External"/><Relationship Id="rId218" Type="http://schemas.openxmlformats.org/officeDocument/2006/relationships/hyperlink" Target="https://www.medicalnewstoday.com/articles/319740" TargetMode="External"/><Relationship Id="rId213" Type="http://schemas.openxmlformats.org/officeDocument/2006/relationships/hyperlink" Target="https://doi.org/10.1016/j.technovation.2020.102219" TargetMode="External"/><Relationship Id="rId212" Type="http://schemas.openxmlformats.org/officeDocument/2006/relationships/hyperlink" Target="https://www.smartpls.com" TargetMode="External"/><Relationship Id="rId211" Type="http://schemas.openxmlformats.org/officeDocument/2006/relationships/hyperlink" Target="https://doi.org/10.15358/0344-1369-2017-3-4" TargetMode="External"/><Relationship Id="rId210" Type="http://schemas.openxmlformats.org/officeDocument/2006/relationships/hyperlink" Target="https://doi.org/10.1016/j.smhl.2022.100330" TargetMode="External"/><Relationship Id="rId129" Type="http://schemas.openxmlformats.org/officeDocument/2006/relationships/hyperlink" Target="https://doi.org/10.1016/j.im.2007.03.005" TargetMode="External"/><Relationship Id="rId128" Type="http://schemas.openxmlformats.org/officeDocument/2006/relationships/hyperlink" Target="https://doi.org/10.24912/jm.v25i1.707" TargetMode="External"/><Relationship Id="rId249" Type="http://schemas.openxmlformats.org/officeDocument/2006/relationships/hyperlink" Target="https://doi.org/10.3390/bios14110560" TargetMode="External"/><Relationship Id="rId127" Type="http://schemas.openxmlformats.org/officeDocument/2006/relationships/hyperlink" Target="https://doi.org/10.1155/2018/1857413" TargetMode="External"/><Relationship Id="rId248" Type="http://schemas.openxmlformats.org/officeDocument/2006/relationships/hyperlink" Target="https://doi.org/10.1049/blc2.12077" TargetMode="External"/><Relationship Id="rId126" Type="http://schemas.openxmlformats.org/officeDocument/2006/relationships/hyperlink" Target="https://doi.org/10.3389/fphys.2022.917084" TargetMode="External"/><Relationship Id="rId247" Type="http://schemas.openxmlformats.org/officeDocument/2006/relationships/hyperlink" Target="https://doi.org/10.2307/30036540" TargetMode="External"/><Relationship Id="rId121" Type="http://schemas.openxmlformats.org/officeDocument/2006/relationships/hyperlink" Target="https://doi.org/10.1108/07363760610674310" TargetMode="External"/><Relationship Id="rId242" Type="http://schemas.openxmlformats.org/officeDocument/2006/relationships/hyperlink" Target="https://doi.org/10.1016/j.infsof.2009.11.005" TargetMode="External"/><Relationship Id="rId120" Type="http://schemas.openxmlformats.org/officeDocument/2006/relationships/hyperlink" Target="https://doi.org/10.1089/wound.2016.0718" TargetMode="External"/><Relationship Id="rId241" Type="http://schemas.openxmlformats.org/officeDocument/2006/relationships/hyperlink" Target="https://doi.org/10.1016/j.jphotobiol.2017.04.014" TargetMode="External"/><Relationship Id="rId240" Type="http://schemas.openxmlformats.org/officeDocument/2006/relationships/hyperlink" Target="https://open.ncl.ac.uk/academic-theories/18/theory-of-reasoned-action/" TargetMode="External"/><Relationship Id="rId125" Type="http://schemas.openxmlformats.org/officeDocument/2006/relationships/hyperlink" Target="https://doi.org/10.1016/j.neucom.2023.126719" TargetMode="External"/><Relationship Id="rId246" Type="http://schemas.openxmlformats.org/officeDocument/2006/relationships/hyperlink" Target="https://doi.org/10.1016/j.ijresmar.2010.08.004" TargetMode="External"/><Relationship Id="rId124" Type="http://schemas.openxmlformats.org/officeDocument/2006/relationships/hyperlink" Target="https://doi.org/10.1016/j.ijinfomgt.2018.09.016" TargetMode="External"/><Relationship Id="rId245" Type="http://schemas.openxmlformats.org/officeDocument/2006/relationships/hyperlink" Target="https://doi.org/10.3389/fopht.2024.1388602" TargetMode="External"/><Relationship Id="rId123" Type="http://schemas.openxmlformats.org/officeDocument/2006/relationships/hyperlink" Target="https://doi.org/10.1080/13600834.2019.1573501" TargetMode="External"/><Relationship Id="rId244" Type="http://schemas.openxmlformats.org/officeDocument/2006/relationships/hyperlink" Target="https://www.theuiaa.org/a-guide-on-when-and-how-to-use-portable-hyperbaric-chambers/" TargetMode="External"/><Relationship Id="rId122" Type="http://schemas.openxmlformats.org/officeDocument/2006/relationships/hyperlink" Target="https://doi.org/10.1016/j.jbi.2009.07.002" TargetMode="External"/><Relationship Id="rId243" Type="http://schemas.openxmlformats.org/officeDocument/2006/relationships/hyperlink" Target="https://www.fda.gov/medical-devices/products-and-medical-procedures/device-approvals-and-clearances" TargetMode="External"/><Relationship Id="rId95" Type="http://schemas.openxmlformats.org/officeDocument/2006/relationships/hyperlink" Target="https://doi.org/10.1002/jbio.201600176" TargetMode="External"/><Relationship Id="rId94" Type="http://schemas.openxmlformats.org/officeDocument/2006/relationships/hyperlink" Target="https://doi.org/10.1007/s10433-024-00801-5" TargetMode="External"/><Relationship Id="rId97" Type="http://schemas.openxmlformats.org/officeDocument/2006/relationships/hyperlink" Target="https://doi.org/10.7759/cureus.77404" TargetMode="External"/><Relationship Id="rId96" Type="http://schemas.openxmlformats.org/officeDocument/2006/relationships/hyperlink" Target="https://doi.org/10.1177/0272989X08326092" TargetMode="External"/><Relationship Id="rId99" Type="http://schemas.openxmlformats.org/officeDocument/2006/relationships/hyperlink" Target="https://doi.org/10.1093/qjmed/hch074" TargetMode="External"/><Relationship Id="rId98" Type="http://schemas.openxmlformats.org/officeDocument/2006/relationships/hyperlink" Target="https://doi.org/10.1016/j.redox.2022.102352" TargetMode="External"/><Relationship Id="rId91" Type="http://schemas.openxmlformats.org/officeDocument/2006/relationships/hyperlink" Target="https://doi.org/10.1016/j.jretconser.2016.01.016" TargetMode="External"/><Relationship Id="rId90" Type="http://schemas.openxmlformats.org/officeDocument/2006/relationships/hyperlink" Target="https://doi.org/10.3390/healthcare11121805" TargetMode="External"/><Relationship Id="rId93" Type="http://schemas.openxmlformats.org/officeDocument/2006/relationships/hyperlink" Target="https://doi.org/10.21511/bbs.16(2).2021.03" TargetMode="External"/><Relationship Id="rId92" Type="http://schemas.openxmlformats.org/officeDocument/2006/relationships/hyperlink" Target="https://doi.org/10.2478/mmcks-2018-0034" TargetMode="External"/><Relationship Id="rId118" Type="http://schemas.openxmlformats.org/officeDocument/2006/relationships/hyperlink" Target="https://doi.org/10.3390/ijms25084483" TargetMode="External"/><Relationship Id="rId239" Type="http://schemas.openxmlformats.org/officeDocument/2006/relationships/hyperlink" Target="https://doi.org/10.2196/42615" TargetMode="External"/><Relationship Id="rId117" Type="http://schemas.openxmlformats.org/officeDocument/2006/relationships/hyperlink" Target="https://doi.org/10.1016/j.ipha.2024.12.002" TargetMode="External"/><Relationship Id="rId238" Type="http://schemas.openxmlformats.org/officeDocument/2006/relationships/hyperlink" Target="https://doi.org/10.1108/IJIEOM-12-2022-0067" TargetMode="External"/><Relationship Id="rId116" Type="http://schemas.openxmlformats.org/officeDocument/2006/relationships/hyperlink" Target="https://doi.org/10.3390/informatics9020031" TargetMode="External"/><Relationship Id="rId237" Type="http://schemas.openxmlformats.org/officeDocument/2006/relationships/hyperlink" Target="https://doi.org/10.18533/ijbsr.v2i4.161" TargetMode="External"/><Relationship Id="rId115" Type="http://schemas.openxmlformats.org/officeDocument/2006/relationships/hyperlink" Target="https://doi.org/10.1016/j.modpat.2024.100686" TargetMode="External"/><Relationship Id="rId236" Type="http://schemas.openxmlformats.org/officeDocument/2006/relationships/hyperlink" Target="https://doi.org/10.1016/j.ijhcs.2005.04.013" TargetMode="External"/><Relationship Id="rId119" Type="http://schemas.openxmlformats.org/officeDocument/2006/relationships/hyperlink" Target="https://doi.org/10.3390/ijms25084483" TargetMode="External"/><Relationship Id="rId110" Type="http://schemas.openxmlformats.org/officeDocument/2006/relationships/hyperlink" Target="https://doi.org/10.1016/j.wneu.2023.12.069" TargetMode="External"/><Relationship Id="rId231" Type="http://schemas.openxmlformats.org/officeDocument/2006/relationships/hyperlink" Target="https://doi.org/10.3390/cryptography8020026" TargetMode="External"/><Relationship Id="rId230" Type="http://schemas.openxmlformats.org/officeDocument/2006/relationships/hyperlink" Target="https://doi.org/10.1016/j.jbusres.2016.03.049" TargetMode="External"/><Relationship Id="rId114" Type="http://schemas.openxmlformats.org/officeDocument/2006/relationships/hyperlink" Target="https://doi.org/10.3934/biophy.2017.3.337" TargetMode="External"/><Relationship Id="rId235" Type="http://schemas.openxmlformats.org/officeDocument/2006/relationships/hyperlink" Target="https://doi.org/10.2196/42743" TargetMode="External"/><Relationship Id="rId113" Type="http://schemas.openxmlformats.org/officeDocument/2006/relationships/hyperlink" Target="https://doi.org/10.1016/j.ijin.2021.09.005" TargetMode="External"/><Relationship Id="rId234" Type="http://schemas.openxmlformats.org/officeDocument/2006/relationships/hyperlink" Target="https://doi.org/10.1007/BF02293958" TargetMode="External"/><Relationship Id="rId112" Type="http://schemas.openxmlformats.org/officeDocument/2006/relationships/hyperlink" Target="https://doi.org/10.1016/j.iotcps.2022.04.001" TargetMode="External"/><Relationship Id="rId233" Type="http://schemas.openxmlformats.org/officeDocument/2006/relationships/hyperlink" Target="https://futurehealthcaretoday.com/digital-health-adoption-is-surging-but-so-is-consumer-distrust/" TargetMode="External"/><Relationship Id="rId111" Type="http://schemas.openxmlformats.org/officeDocument/2006/relationships/hyperlink" Target="https://doi.org/10.1016/j.sintl.2021.100117" TargetMode="External"/><Relationship Id="rId232" Type="http://schemas.openxmlformats.org/officeDocument/2006/relationships/hyperlink" Target="https://doi.org/10.1080/00139157.2016.1112169" TargetMode="External"/><Relationship Id="rId206" Type="http://schemas.openxmlformats.org/officeDocument/2006/relationships/hyperlink" Target="https://doi.org/10.1108/TR-03-2021-0114" TargetMode="External"/><Relationship Id="rId205" Type="http://schemas.openxmlformats.org/officeDocument/2006/relationships/hyperlink" Target="https://doi.org/10.1155/2024/3085910" TargetMode="External"/><Relationship Id="rId204" Type="http://schemas.openxmlformats.org/officeDocument/2006/relationships/hyperlink" Target="https://doi.org/10.1055/s-0038-1668091" TargetMode="External"/><Relationship Id="rId203" Type="http://schemas.openxmlformats.org/officeDocument/2006/relationships/hyperlink" Target="https://doi.org/10.1016/j.outlook.2022.05.009" TargetMode="External"/><Relationship Id="rId209" Type="http://schemas.openxmlformats.org/officeDocument/2006/relationships/hyperlink" Target="https://doi.org/10.1016/j.jtherbio.2023.103727" TargetMode="External"/><Relationship Id="rId208" Type="http://schemas.openxmlformats.org/officeDocument/2006/relationships/hyperlink" Target="https://doi.org/10.1016/j.iotcps.2023.04.003" TargetMode="External"/><Relationship Id="rId207" Type="http://schemas.openxmlformats.org/officeDocument/2006/relationships/hyperlink" Target="https://doi.org/10.1016/B978-0-12-818697-8.00068-6" TargetMode="External"/><Relationship Id="rId202" Type="http://schemas.openxmlformats.org/officeDocument/2006/relationships/hyperlink" Target="https://doi.org/10.4085/1062-6050-529-18" TargetMode="External"/><Relationship Id="rId201" Type="http://schemas.openxmlformats.org/officeDocument/2006/relationships/hyperlink" Target="https://doi.org/10.1371/journal.pmed.1001953" TargetMode="External"/><Relationship Id="rId200" Type="http://schemas.openxmlformats.org/officeDocument/2006/relationships/hyperlink" Target="https://doi.org/10.1371/journal.pmed.100195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BY6j+YIEH/ESZQgeDw6rPZK2vQ==">CgMxLjAaFAoBMBIPCg0IB0IJEgdHdW5nc3VoGhQKATESDwoNCAdCCRIHR3VuZ3N1aDIOaC5qdWI2bzE0MnA0dzUyDmguaDdjZmk3YjhlNWxoMg5oLnBweHN2ajU2ZzdmeDIOaC50NDhhN292anhwZTgyDmguMXpwdGRlMnV2eG9jMg5oLnhqc3p4aWtocnczNDIOaC5zemswM2lxcXd4OHkyDmguaTJuZWJrbzJwcGFnMg5oLnR4dmtjcGdvZGNmdTIOaC55azU0cWF2ejB1b3AyDmgucDVjdm56a2I3d2t1Mg5oLmhoYmdtOTFlemw3MzIOaC5kbzgzdDZsMTIwZjM4AHIhMXZ5b1RiUVBoalhJZE9Wc01JOFBMcnFIb1RMa1FzY0E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2025-04-14T02:40:00Z</dcterms:created>
  <dc:creator>Gregory</dc:creator>
</cp:coreProperties>
</file>